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734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0"/>
          <w:szCs w:val="40"/>
          <w:highlight w:val="none"/>
          <w:lang w:val="en-US" w:eastAsia="zh-CN"/>
        </w:rPr>
        <w:t xml:space="preserve"> </w:t>
      </w:r>
      <w:r>
        <w:rPr>
          <w:sz w:val="80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791845</wp:posOffset>
                </wp:positionV>
                <wp:extent cx="5273040" cy="571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53795" y="1760855"/>
                          <a:ext cx="5273040" cy="57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05pt;margin-top:62.35pt;height:0.45pt;width:415.2pt;z-index:251660288;mso-width-relative:page;mso-height-relative:page;" filled="f" stroked="t" coordsize="21600,21600" o:gfxdata="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AUlfbUAAAACQEAAA8AAAAAAAAAAQAgAAAAIgAAAGRycy9kb3ducmV2Lnht&#10;bFBLAQIUABQAAAAIAIdO4kDMIFWu/QEAAM4DAAAOAAAAAAAAAAEAIAAAACMBAABkcnMvZTJvRG9j&#10;LnhtbFBLBQYAAAAABgAGAFkBAACSBQAAAAA=&#10;">
                <v:fill on="f" focussize="0,0"/>
                <v:stroke color="#FF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7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756920</wp:posOffset>
                </wp:positionV>
                <wp:extent cx="526224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16330" y="1674495"/>
                          <a:ext cx="526224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5pt;margin-top:59.6pt;height:0pt;width:414.35pt;z-index:251659264;mso-width-relative:page;mso-height-relative:page;" filled="f" stroked="t" coordsize="21600,21600" o:gfxdata="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qw8Ve1QAAAAkBAAAPAAAAAAAAAAEAIAAAACIAAABkcnMvZG93bnJldi54bWxQ&#10;SwECFAAUAAAACACHTuJAzBV7FvoBAADMAwAADgAAAAAAAAABACAAAAAkAQAAZHJzL2Uyb0RvYy54&#10;bWxQSwUGAAAAAAYABgBZAQAAkAUAAAAA&#10;">
                <v:fill on="f" focussize="0,0"/>
                <v:stroke weight="1.25pt" color="#FF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color w:val="FF0000"/>
          <w:sz w:val="70"/>
          <w:szCs w:val="70"/>
          <w:highlight w:val="none"/>
        </w:rPr>
        <w:t>且  末  县  统  计  局</w:t>
      </w:r>
    </w:p>
    <w:p w14:paraId="5E80B20A">
      <w:pPr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3D022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  <w:t>且末县2026年1-3月份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highlight w:val="none"/>
          <w:lang w:val="en-US" w:eastAsia="zh-CN"/>
        </w:rPr>
        <w:t>主要经济指标分析</w:t>
      </w:r>
    </w:p>
    <w:p w14:paraId="1573E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</w:pPr>
    </w:p>
    <w:p w14:paraId="0672FF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2026年是“十五五”规划开局起步的关键之年。在县委、县政府领导下，全县坚持以习近平新时代中国特色社会主义思想为指导，深入学习贯彻党的二十大和二十届历次全会精神，全面落实</w:t>
      </w:r>
      <w:r>
        <w:rPr>
          <w:rFonts w:ascii="方正仿宋_GBK" w:hAnsi="方正仿宋_GBK" w:eastAsia="方正仿宋_GBK" w:cs="方正仿宋_GBK"/>
          <w:spacing w:val="0"/>
          <w:sz w:val="32"/>
          <w:szCs w:val="32"/>
        </w:rPr>
        <w:t>习近平总书记关于新疆工作的重要讲话和重要指示批示精神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。今年以来，且末县紧扣稳中求进工作总基调，完整准确全面贯彻新发展理念，坚定不移落实新时代党的治疆方略，围绕“农业富民、工业强县、文旅兴城”发展战略，抢抓机遇、真抓实干，持续推动产业升级、项目攻坚、消费提振，全县经济运行平稳有序、开局向好，为实现一季度主要经济指标“开门红”提供了有力支撑,现将有关情况汇报如下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。</w:t>
      </w:r>
    </w:p>
    <w:p w14:paraId="096E58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一季度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主要经济指标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总体运行情况</w:t>
      </w:r>
    </w:p>
    <w:p w14:paraId="6AAE9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0"/>
          <w:sz w:val="32"/>
          <w:szCs w:val="32"/>
          <w:highlight w:val="none"/>
          <w:lang w:val="en-US" w:eastAsia="zh-CN"/>
        </w:rPr>
        <w:t>（一）地区生产总值</w:t>
      </w:r>
    </w:p>
    <w:p w14:paraId="163FE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zh-CN" w:eastAsia="zh-CN"/>
        </w:rPr>
        <w:t>202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zh-CN" w:eastAsia="zh-CN"/>
        </w:rPr>
        <w:t>年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一季度，我县地区生产总值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78792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万元，同比增长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0.1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%。其中：一产增加值完成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6232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万元，同比增长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4.5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%；二产增加值完成1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3508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万元，同比增长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5.1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%；三产增加值完成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59052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万元，同比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下降1.4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%。三产结构比为7.9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：1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7.14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：7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4.95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。</w:t>
      </w:r>
    </w:p>
    <w:p w14:paraId="11B0D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0"/>
          <w:sz w:val="32"/>
          <w:szCs w:val="32"/>
          <w:highlight w:val="none"/>
          <w:lang w:val="en-US" w:eastAsia="zh-CN"/>
        </w:rPr>
        <w:t>（二）规模以上工业增加值情况</w:t>
      </w:r>
    </w:p>
    <w:p w14:paraId="74ADF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一季度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全县9家规模以上工业企业平稳开局，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稳健增长。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实现工业总产值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11556.69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万元，同比增长46.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63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%，工业增加值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4571.04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万元，同比增长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20.6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。其中：</w:t>
      </w: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采矿业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实现工业总产值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8030.78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同比增长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106.03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，工业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增加值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3211.62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同比增长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48.89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制造业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完成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工业总产值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514.7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同比下降35.97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%，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工业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增加值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105.77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万元，同比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下降31.41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电力、热力生产和供应业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完成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工业总产值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3011.21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同比下降5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.31%，工业增加值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1253.65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万元，同比下降1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.69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%。</w:t>
      </w:r>
    </w:p>
    <w:p w14:paraId="5BB0C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pacing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b/>
          <w:bCs/>
          <w:spacing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b/>
          <w:bCs/>
          <w:spacing w:val="0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固定资产投资情况</w:t>
      </w:r>
    </w:p>
    <w:p w14:paraId="66CBA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一季度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zh-CN" w:eastAsia="zh-CN"/>
        </w:rPr>
        <w:t>全县完成固定资产投资42383万元，同比增长69.59%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zh-CN" w:eastAsia="zh-CN"/>
        </w:rPr>
        <w:t>。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zh-CN" w:eastAsia="zh-CN"/>
        </w:rPr>
        <w:t>其中：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zh-CN" w:eastAsia="zh-CN"/>
        </w:rPr>
        <w:t>国有投资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zh-CN" w:eastAsia="zh-CN"/>
        </w:rPr>
        <w:t>同比增长207.74%，民间投资同比增长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zh-CN" w:eastAsia="zh-CN"/>
        </w:rPr>
        <w:t>%。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建筑安装工程同比增长64.26%，设备工器具购置同比增长109.42%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其他费用同比增长20%，其中建设用地费同比增长153.8%。</w:t>
      </w:r>
    </w:p>
    <w:p w14:paraId="791AA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zh-CN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0"/>
          <w:sz w:val="32"/>
          <w:szCs w:val="32"/>
          <w:highlight w:val="none"/>
          <w:lang w:val="en-US" w:eastAsia="zh-CN"/>
        </w:rPr>
        <w:t>工业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投资同比增长20.65%，拉动1-3月增速10.42个百分点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方正黑体_GBK" w:hAnsi="方正黑体_GBK" w:eastAsia="方正黑体_GBK" w:cs="方正黑体_GBK"/>
          <w:b w:val="0"/>
          <w:bCs w:val="0"/>
          <w:spacing w:val="0"/>
          <w:sz w:val="32"/>
          <w:szCs w:val="32"/>
          <w:highlight w:val="none"/>
          <w:lang w:val="en-US" w:eastAsia="zh-CN"/>
        </w:rPr>
        <w:t>电力、燃气及水的生产和供应业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投资同比增长188.76%，拉动1-3月增速18.22个百分点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方正黑体_GBK" w:hAnsi="方正黑体_GBK" w:eastAsia="方正黑体_GBK" w:cs="方正黑体_GBK"/>
          <w:b w:val="0"/>
          <w:bCs w:val="0"/>
          <w:spacing w:val="0"/>
          <w:sz w:val="32"/>
          <w:szCs w:val="32"/>
          <w:highlight w:val="none"/>
          <w:lang w:val="en-US" w:eastAsia="zh-CN"/>
        </w:rPr>
        <w:t>水利、环境和公共设施管理业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投资同比增长50.91%，拉动1-3月增速17.7个百分点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方正黑体_GBK" w:hAnsi="方正黑体_GBK" w:eastAsia="方正黑体_GBK" w:cs="方正黑体_GBK"/>
          <w:b w:val="0"/>
          <w:bCs w:val="0"/>
          <w:spacing w:val="0"/>
          <w:sz w:val="32"/>
          <w:szCs w:val="32"/>
          <w:highlight w:val="none"/>
          <w:lang w:val="en-US" w:eastAsia="zh-CN"/>
        </w:rPr>
        <w:t>民生投资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同比下降87.13%，下拉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1-3月增速4.9个百分点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。</w:t>
      </w:r>
    </w:p>
    <w:p w14:paraId="51EF85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）限额以上社会消费品零售总额完成情况</w:t>
      </w:r>
    </w:p>
    <w:p w14:paraId="6BF262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一季度且末县限额以上社会消费品零售总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额完成8411.7万元同比增长5.23%。</w:t>
      </w:r>
    </w:p>
    <w:p w14:paraId="7D115C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zh-CN"/>
        </w:rPr>
        <w:t>分商品类别看，</w:t>
      </w: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highlight w:val="none"/>
          <w:lang w:val="zh-CN"/>
        </w:rPr>
        <w:t>石油及制品类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zh-CN"/>
        </w:rPr>
        <w:t>零售额2554.1万元，同比下降31.48%，下拉全县限额以上社零增速14.68个百分点；</w:t>
      </w: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highlight w:val="none"/>
          <w:lang w:val="zh-CN"/>
        </w:rPr>
        <w:t>粮油、食品类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zh-CN"/>
        </w:rPr>
        <w:t>零售额4065.6万元，同比增长46.53%，拉动增速16.15个百分点；</w:t>
      </w:r>
      <w:r>
        <w:rPr>
          <w:rFonts w:hint="default" w:ascii="方正黑体_GBK" w:hAnsi="方正黑体_GBK" w:eastAsia="方正黑体_GBK" w:cs="方正黑体_GBK"/>
          <w:b w:val="0"/>
          <w:bCs/>
          <w:color w:val="000000"/>
          <w:sz w:val="32"/>
          <w:szCs w:val="32"/>
          <w:highlight w:val="none"/>
          <w:lang w:val="zh-CN"/>
        </w:rPr>
        <w:t>日用品类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zh-CN"/>
        </w:rPr>
        <w:t>零售额159.1万元，同比增长83.72%，拉动增速0.91个百分点；</w:t>
      </w:r>
      <w:r>
        <w:rPr>
          <w:rFonts w:hint="default" w:ascii="方正黑体_GBK" w:hAnsi="方正黑体_GBK" w:eastAsia="方正黑体_GBK" w:cs="方正黑体_GBK"/>
          <w:b w:val="0"/>
          <w:bCs/>
          <w:color w:val="000000"/>
          <w:sz w:val="32"/>
          <w:szCs w:val="32"/>
          <w:highlight w:val="none"/>
          <w:lang w:val="zh-CN"/>
        </w:rPr>
        <w:t>金银珠宝类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zh-CN"/>
        </w:rPr>
        <w:t>零售额782.9万元，同比增长173.84%，拉动增速6.22个百分点；</w:t>
      </w:r>
      <w:r>
        <w:rPr>
          <w:rFonts w:hint="default" w:ascii="方正黑体_GBK" w:hAnsi="方正黑体_GBK" w:eastAsia="方正黑体_GBK" w:cs="方正黑体_GBK"/>
          <w:b w:val="0"/>
          <w:bCs/>
          <w:color w:val="000000"/>
          <w:sz w:val="32"/>
          <w:szCs w:val="32"/>
          <w:highlight w:val="none"/>
          <w:lang w:val="zh-CN"/>
        </w:rPr>
        <w:t>家用电器和音像器材类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zh-CN"/>
        </w:rPr>
        <w:t>零售额325.6万元，同比增长94.16%；</w:t>
      </w:r>
      <w:r>
        <w:rPr>
          <w:rFonts w:hint="default" w:ascii="方正黑体_GBK" w:hAnsi="方正黑体_GBK" w:eastAsia="方正黑体_GBK" w:cs="方正黑体_GBK"/>
          <w:b w:val="0"/>
          <w:bCs/>
          <w:color w:val="000000"/>
          <w:sz w:val="32"/>
          <w:szCs w:val="32"/>
          <w:highlight w:val="none"/>
          <w:lang w:val="zh-CN"/>
        </w:rPr>
        <w:t>餐饮类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zh-CN"/>
        </w:rPr>
        <w:t>餐费收入495.3万元，同比下降23.95%，下拉增速1.95个百分点；</w:t>
      </w:r>
      <w:r>
        <w:rPr>
          <w:rFonts w:hint="default" w:ascii="方正黑体_GBK" w:hAnsi="方正黑体_GBK" w:eastAsia="方正黑体_GBK" w:cs="方正黑体_GBK"/>
          <w:b w:val="0"/>
          <w:bCs/>
          <w:color w:val="000000"/>
          <w:sz w:val="32"/>
          <w:szCs w:val="32"/>
          <w:highlight w:val="none"/>
          <w:lang w:val="zh-CN"/>
        </w:rPr>
        <w:t>汽车类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zh-CN"/>
        </w:rPr>
        <w:t>零售额29.1万元，同比下降78.77%。</w:t>
      </w:r>
    </w:p>
    <w:p w14:paraId="21C8FA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楷体_GBK" w:cs="Times New Roman"/>
          <w:b/>
          <w:bCs/>
          <w:color w:val="auto"/>
          <w:spacing w:val="0"/>
          <w:sz w:val="32"/>
          <w:szCs w:val="32"/>
          <w:highlight w:val="none"/>
          <w:lang w:val="zh-CN"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sz w:val="32"/>
          <w:szCs w:val="32"/>
          <w:highlight w:val="none"/>
          <w:lang w:val="zh-CN" w:eastAsia="zh-CN"/>
        </w:rPr>
        <w:t>（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sz w:val="32"/>
          <w:szCs w:val="32"/>
          <w:highlight w:val="none"/>
          <w:lang w:val="zh-CN" w:eastAsia="zh-CN"/>
        </w:rPr>
        <w:t>）一般公共预算收入情况</w:t>
      </w:r>
    </w:p>
    <w:p w14:paraId="419A7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一季度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zh-CN"/>
        </w:rPr>
        <w:t>我县一般公共预算全口径收入完成13668万元，同比增收1936万元，增长16.49%。其中：税收收入完成6338万元，同比增收885万元，增长16.21%；非税收入完成7330万元，同比增收1051万元，增长16.74%。</w:t>
      </w:r>
    </w:p>
    <w:p w14:paraId="442E80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000000"/>
          <w:spacing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b/>
          <w:bCs/>
          <w:color w:val="000000"/>
          <w:spacing w:val="0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方正楷体_GBK" w:cs="Times New Roman"/>
          <w:b/>
          <w:bCs/>
          <w:color w:val="000000"/>
          <w:spacing w:val="0"/>
          <w:sz w:val="32"/>
          <w:szCs w:val="32"/>
          <w:highlight w:val="none"/>
          <w:lang w:val="en-US" w:eastAsia="zh-CN"/>
        </w:rPr>
        <w:t>）总专包资质建筑业</w:t>
      </w:r>
      <w:r>
        <w:rPr>
          <w:rFonts w:hint="eastAsia" w:ascii="Times New Roman" w:hAnsi="Times New Roman" w:eastAsia="方正楷体_GBK" w:cs="Times New Roman"/>
          <w:b/>
          <w:bCs/>
          <w:color w:val="000000"/>
          <w:spacing w:val="0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Times New Roman" w:hAnsi="Times New Roman" w:eastAsia="方正楷体_GBK" w:cs="Times New Roman"/>
          <w:b/>
          <w:bCs/>
          <w:spacing w:val="0"/>
          <w:sz w:val="32"/>
          <w:szCs w:val="32"/>
          <w:highlight w:val="none"/>
          <w:lang w:val="en-US" w:eastAsia="zh-CN"/>
        </w:rPr>
        <w:t>实现建筑业</w:t>
      </w:r>
      <w:r>
        <w:rPr>
          <w:rFonts w:hint="default" w:ascii="Times New Roman" w:hAnsi="Times New Roman" w:eastAsia="方正楷体_GBK" w:cs="Times New Roman"/>
          <w:b/>
          <w:bCs/>
          <w:color w:val="000000"/>
          <w:spacing w:val="0"/>
          <w:sz w:val="32"/>
          <w:szCs w:val="32"/>
          <w:highlight w:val="none"/>
          <w:lang w:val="en-US" w:eastAsia="zh-CN"/>
        </w:rPr>
        <w:t>产值情况</w:t>
      </w:r>
    </w:p>
    <w:p w14:paraId="038ADA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4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一季度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我县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8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家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总专包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建筑业企业</w:t>
      </w:r>
      <w:r>
        <w:rPr>
          <w:rFonts w:hint="default" w:ascii="Times New Roman" w:hAnsi="Times New Roman" w:eastAsia="方正仿宋_GBK" w:cs="Times New Roman"/>
          <w:sz w:val="31"/>
          <w:szCs w:val="31"/>
          <w:highlight w:val="none"/>
          <w:lang w:val="en-US" w:eastAsia="zh-CN"/>
        </w:rPr>
        <w:t>实现建筑业产值</w:t>
      </w:r>
      <w:r>
        <w:rPr>
          <w:rFonts w:hint="eastAsia" w:ascii="Times New Roman" w:hAnsi="Times New Roman" w:eastAsia="方正仿宋_GBK" w:cs="Times New Roman"/>
          <w:sz w:val="31"/>
          <w:szCs w:val="31"/>
          <w:highlight w:val="none"/>
          <w:lang w:val="en-US" w:eastAsia="zh-CN"/>
        </w:rPr>
        <w:t>3838.1</w:t>
      </w:r>
      <w:r>
        <w:rPr>
          <w:rFonts w:hint="default" w:ascii="Times New Roman" w:hAnsi="Times New Roman" w:eastAsia="方正仿宋_GBK" w:cs="Times New Roman"/>
          <w:sz w:val="31"/>
          <w:szCs w:val="31"/>
          <w:highlight w:val="none"/>
          <w:lang w:val="en-US" w:eastAsia="zh-CN"/>
        </w:rPr>
        <w:t>万元，同比增长</w:t>
      </w:r>
      <w:r>
        <w:rPr>
          <w:rFonts w:hint="eastAsia" w:ascii="Times New Roman" w:hAnsi="Times New Roman" w:eastAsia="方正仿宋_GBK" w:cs="Times New Roman"/>
          <w:b w:val="0"/>
          <w:bCs w:val="0"/>
          <w:spacing w:val="4"/>
          <w:sz w:val="32"/>
          <w:szCs w:val="32"/>
          <w:highlight w:val="none"/>
          <w:lang w:val="en-US" w:eastAsia="zh-CN"/>
        </w:rPr>
        <w:t>32.1</w:t>
      </w:r>
      <w:r>
        <w:rPr>
          <w:rFonts w:hint="default" w:ascii="Times New Roman" w:hAnsi="Times New Roman" w:eastAsia="方正仿宋_GBK" w:cs="Times New Roman"/>
          <w:sz w:val="31"/>
          <w:szCs w:val="31"/>
          <w:highlight w:val="none"/>
          <w:lang w:val="en-US" w:eastAsia="zh-CN"/>
        </w:rPr>
        <w:t>%</w:t>
      </w:r>
      <w:r>
        <w:rPr>
          <w:rFonts w:hint="eastAsia" w:ascii="Times New Roman" w:hAnsi="Times New Roman" w:eastAsia="方正仿宋_GBK" w:cs="Times New Roman"/>
          <w:sz w:val="31"/>
          <w:szCs w:val="31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1"/>
          <w:szCs w:val="31"/>
          <w:highlight w:val="none"/>
          <w:lang w:val="en-US" w:eastAsia="zh-CN"/>
        </w:rPr>
        <w:t>签订合同额合计4876</w:t>
      </w:r>
      <w:r>
        <w:rPr>
          <w:rFonts w:hint="eastAsia" w:ascii="Times New Roman" w:hAnsi="Times New Roman" w:eastAsia="方正仿宋_GBK" w:cs="Times New Roman"/>
          <w:sz w:val="31"/>
          <w:szCs w:val="31"/>
          <w:highlight w:val="none"/>
          <w:lang w:val="en-US" w:eastAsia="zh-CN"/>
        </w:rPr>
        <w:t>4万元</w:t>
      </w:r>
      <w:r>
        <w:rPr>
          <w:rFonts w:hint="default" w:ascii="Times New Roman" w:hAnsi="Times New Roman" w:eastAsia="方正仿宋_GBK" w:cs="Times New Roman"/>
          <w:sz w:val="31"/>
          <w:szCs w:val="31"/>
          <w:highlight w:val="none"/>
          <w:lang w:val="en-US" w:eastAsia="zh-CN"/>
        </w:rPr>
        <w:t>，同比增长65.6%</w:t>
      </w:r>
      <w:r>
        <w:rPr>
          <w:rFonts w:hint="eastAsia" w:ascii="Times New Roman" w:hAnsi="Times New Roman" w:eastAsia="方正仿宋_GBK" w:cs="Times New Roman"/>
          <w:sz w:val="31"/>
          <w:szCs w:val="31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1"/>
          <w:szCs w:val="31"/>
          <w:highlight w:val="none"/>
          <w:lang w:val="en-US" w:eastAsia="zh-CN"/>
        </w:rPr>
        <w:t>其中：上年结转合同额33455</w:t>
      </w:r>
      <w:r>
        <w:rPr>
          <w:rFonts w:hint="eastAsia" w:ascii="Times New Roman" w:hAnsi="Times New Roman" w:eastAsia="方正仿宋_GBK" w:cs="Times New Roman"/>
          <w:sz w:val="31"/>
          <w:szCs w:val="31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 w:val="31"/>
          <w:szCs w:val="31"/>
          <w:highlight w:val="none"/>
          <w:lang w:val="en-US" w:eastAsia="zh-CN"/>
        </w:rPr>
        <w:t>，同比增长38.1%，本年新签合同额15309</w:t>
      </w:r>
      <w:r>
        <w:rPr>
          <w:rFonts w:hint="eastAsia" w:ascii="Times New Roman" w:hAnsi="Times New Roman" w:eastAsia="方正仿宋_GBK" w:cs="Times New Roman"/>
          <w:sz w:val="31"/>
          <w:szCs w:val="31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 w:val="31"/>
          <w:szCs w:val="31"/>
          <w:highlight w:val="none"/>
          <w:lang w:val="en-US" w:eastAsia="zh-CN"/>
        </w:rPr>
        <w:t>，同比增长193.5%</w:t>
      </w:r>
      <w:r>
        <w:rPr>
          <w:rFonts w:hint="eastAsia" w:ascii="Times New Roman" w:hAnsi="Times New Roman" w:eastAsia="方正仿宋_GBK" w:cs="Times New Roman"/>
          <w:sz w:val="31"/>
          <w:szCs w:val="31"/>
          <w:highlight w:val="none"/>
          <w:lang w:val="en-US" w:eastAsia="zh-CN"/>
        </w:rPr>
        <w:t>。</w:t>
      </w:r>
    </w:p>
    <w:p w14:paraId="3109CC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方正楷体_GBK" w:cs="Times New Roman"/>
          <w:b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六</w:t>
      </w:r>
      <w:r>
        <w:rPr>
          <w:rFonts w:hint="default" w:ascii="Times New Roman" w:hAnsi="Times New Roman" w:eastAsia="方正楷体_GBK" w:cs="Times New Roman"/>
          <w:b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）规模以上</w:t>
      </w:r>
      <w:r>
        <w:rPr>
          <w:rFonts w:hint="default" w:ascii="Times New Roman" w:hAnsi="Times New Roman" w:eastAsia="方正楷体_GBK" w:cs="Times New Roman"/>
          <w:b/>
          <w:bCs/>
          <w:color w:val="000000"/>
          <w:spacing w:val="0"/>
          <w:kern w:val="2"/>
          <w:sz w:val="32"/>
          <w:szCs w:val="32"/>
          <w:highlight w:val="none"/>
          <w:lang w:val="zh-CN" w:eastAsia="zh-CN" w:bidi="ar-SA"/>
        </w:rPr>
        <w:t>营利性服务业企业</w:t>
      </w:r>
      <w:r>
        <w:rPr>
          <w:rFonts w:hint="eastAsia" w:ascii="Times New Roman" w:hAnsi="Times New Roman" w:eastAsia="方正楷体_GBK" w:cs="Times New Roman"/>
          <w:b/>
          <w:bCs/>
          <w:spacing w:val="0"/>
          <w:sz w:val="32"/>
          <w:szCs w:val="32"/>
          <w:highlight w:val="none"/>
          <w:lang w:val="en-US" w:eastAsia="zh-CN"/>
        </w:rPr>
        <w:t>营业收入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完成</w:t>
      </w:r>
      <w:r>
        <w:rPr>
          <w:rFonts w:hint="default" w:ascii="Times New Roman" w:hAnsi="Times New Roman" w:eastAsia="方正楷体_GBK" w:cs="Times New Roman"/>
          <w:b/>
          <w:bCs/>
          <w:color w:val="000000"/>
          <w:spacing w:val="0"/>
          <w:sz w:val="32"/>
          <w:szCs w:val="32"/>
          <w:highlight w:val="none"/>
          <w:lang w:val="en-US" w:eastAsia="zh-CN"/>
        </w:rPr>
        <w:t>情况</w:t>
      </w:r>
    </w:p>
    <w:p w14:paraId="1C6A3884">
      <w:pPr>
        <w:pStyle w:val="6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highlight w:val="yellow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1-2月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（错月统计）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规模以上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家营利性服务业企业实现营业收入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754.4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万元，同比增长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323.34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%。其中：</w:t>
      </w:r>
      <w:r>
        <w:rPr>
          <w:rFonts w:hint="default" w:ascii="Times New Roman" w:hAnsi="Times New Roman" w:eastAsia="方正黑体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租赁和商务服务业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1-2月营业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收入291.2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万元，同比增长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63.41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%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Times New Roman" w:hAnsi="Times New Roman" w:eastAsia="方正黑体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水利、环境和公共设施管理业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1-2月营业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收入463.2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万元，同比增长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100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%。</w:t>
      </w:r>
    </w:p>
    <w:sectPr>
      <w:footerReference r:id="rId3" w:type="default"/>
      <w:pgSz w:w="11906" w:h="16838"/>
      <w:pgMar w:top="1871" w:right="1531" w:bottom="1984" w:left="1531" w:header="964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9DBA4F2-E6F3-4715-8421-494DD9927CE7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FFB1A0C-3849-4444-94B3-82D0F3CE469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4A6C69F-F670-4912-AADB-F2E8A2DB1AC7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46A7EFB-1343-4E08-9436-40EB3D735B1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CA495A1-0726-4BD1-A599-80F8257E9B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94A8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7284D0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7284D0">
                    <w:pPr>
                      <w:pStyle w:val="8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011432"/>
    <w:rsid w:val="01B1341C"/>
    <w:rsid w:val="040B7C6C"/>
    <w:rsid w:val="055727FC"/>
    <w:rsid w:val="078D7EC3"/>
    <w:rsid w:val="082A2250"/>
    <w:rsid w:val="08AF0E7E"/>
    <w:rsid w:val="08EB6C4F"/>
    <w:rsid w:val="0A221852"/>
    <w:rsid w:val="0D442289"/>
    <w:rsid w:val="0E6F7BBD"/>
    <w:rsid w:val="0EEC54CF"/>
    <w:rsid w:val="0F0A68F8"/>
    <w:rsid w:val="10120F66"/>
    <w:rsid w:val="12B35E99"/>
    <w:rsid w:val="1408098C"/>
    <w:rsid w:val="14757D15"/>
    <w:rsid w:val="18B25B5C"/>
    <w:rsid w:val="18CB1A47"/>
    <w:rsid w:val="1A5D7869"/>
    <w:rsid w:val="21E13BD4"/>
    <w:rsid w:val="24BD5BCA"/>
    <w:rsid w:val="25070698"/>
    <w:rsid w:val="263F5CEB"/>
    <w:rsid w:val="264468D0"/>
    <w:rsid w:val="267D718F"/>
    <w:rsid w:val="26D4546E"/>
    <w:rsid w:val="284D6B87"/>
    <w:rsid w:val="29EF0399"/>
    <w:rsid w:val="2A101F8A"/>
    <w:rsid w:val="2AA044E4"/>
    <w:rsid w:val="2AB874EC"/>
    <w:rsid w:val="2BAE5123"/>
    <w:rsid w:val="2CB27900"/>
    <w:rsid w:val="2CBC42DB"/>
    <w:rsid w:val="2E4B1DBB"/>
    <w:rsid w:val="30BC70A5"/>
    <w:rsid w:val="318602E4"/>
    <w:rsid w:val="32D00980"/>
    <w:rsid w:val="33B0446E"/>
    <w:rsid w:val="34B914FF"/>
    <w:rsid w:val="363368BB"/>
    <w:rsid w:val="39796411"/>
    <w:rsid w:val="3AEF0DDE"/>
    <w:rsid w:val="3B693880"/>
    <w:rsid w:val="3C0E2E43"/>
    <w:rsid w:val="3C452FAA"/>
    <w:rsid w:val="408D3411"/>
    <w:rsid w:val="40995ADD"/>
    <w:rsid w:val="41DD13BD"/>
    <w:rsid w:val="41F25183"/>
    <w:rsid w:val="425F3C2F"/>
    <w:rsid w:val="42A630AA"/>
    <w:rsid w:val="42CC6D91"/>
    <w:rsid w:val="444F55DD"/>
    <w:rsid w:val="4B412E48"/>
    <w:rsid w:val="4BCC345D"/>
    <w:rsid w:val="4C324162"/>
    <w:rsid w:val="4ECC7F56"/>
    <w:rsid w:val="50096F88"/>
    <w:rsid w:val="501A0A3D"/>
    <w:rsid w:val="507F724A"/>
    <w:rsid w:val="517448D5"/>
    <w:rsid w:val="53A8557D"/>
    <w:rsid w:val="574C10B6"/>
    <w:rsid w:val="57680A38"/>
    <w:rsid w:val="57F347A6"/>
    <w:rsid w:val="59310184"/>
    <w:rsid w:val="5AE66604"/>
    <w:rsid w:val="5B3B3D94"/>
    <w:rsid w:val="5B4D49CA"/>
    <w:rsid w:val="5BE2525D"/>
    <w:rsid w:val="5C3C6B30"/>
    <w:rsid w:val="5DE60909"/>
    <w:rsid w:val="627E2BB9"/>
    <w:rsid w:val="635D6704"/>
    <w:rsid w:val="68BA7955"/>
    <w:rsid w:val="6A472D66"/>
    <w:rsid w:val="6B2B0AAB"/>
    <w:rsid w:val="6BE42713"/>
    <w:rsid w:val="6D426AE2"/>
    <w:rsid w:val="6E8201DA"/>
    <w:rsid w:val="6EF84296"/>
    <w:rsid w:val="6FF46EB5"/>
    <w:rsid w:val="730A7719"/>
    <w:rsid w:val="73426189"/>
    <w:rsid w:val="73A2640E"/>
    <w:rsid w:val="7A060641"/>
    <w:rsid w:val="7D4A791A"/>
    <w:rsid w:val="7D871368"/>
    <w:rsid w:val="7DF84014"/>
    <w:rsid w:val="7E64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方正小标宋_GBK"/>
      <w:b/>
      <w:sz w:val="4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spacing w:line="312" w:lineRule="auto"/>
      <w:ind w:firstLine="420"/>
    </w:pPr>
    <w:rPr>
      <w:rFonts w:ascii="宋体"/>
      <w:bCs/>
      <w:sz w:val="24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"/>
    <w:basedOn w:val="1"/>
    <w:next w:val="7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 First Indent"/>
    <w:basedOn w:val="6"/>
    <w:next w:val="8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footer"/>
    <w:basedOn w:val="1"/>
    <w:next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character" w:styleId="11">
    <w:name w:val="FollowedHyperlink"/>
    <w:basedOn w:val="10"/>
    <w:qFormat/>
    <w:uiPriority w:val="0"/>
    <w:rPr>
      <w:color w:val="333333"/>
      <w:u w:val="none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swiper-visible-switch"/>
    <w:basedOn w:val="10"/>
    <w:qFormat/>
    <w:uiPriority w:val="0"/>
    <w:rPr>
      <w:color w:val="FFFFFF"/>
      <w:shd w:val="clear" w:fill="074A9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1374</Words>
  <Characters>1774</Characters>
  <Lines>0</Lines>
  <Paragraphs>0</Paragraphs>
  <TotalTime>2</TotalTime>
  <ScaleCrop>false</ScaleCrop>
  <LinksUpToDate>false</LinksUpToDate>
  <CharactersWithSpaces>1785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2025-03-07T10:01:00Z</dcterms:created>
  <dc:creator>user</dc:creator>
  <cp:lastModifiedBy>健</cp:lastModifiedBy>
  <cp:lastPrinted>2025-03-18T05:30:00Z</cp:lastPrinted>
  <dcterms:modified xsi:type="dcterms:W3CDTF">2026-04-27T04:07:51Z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8D32759C36944D3EA66A34966CC4BC00_13</vt:lpwstr>
  </property>
  <property fmtid="{D5CDD505-2E9C-101B-9397-08002B2CF9AE}" pid="4" name="KSOTemplateDocerSaveRecord">
    <vt:lpwstr>eyJoZGlkIjoiOTQyZmVhMDBkZjk3MzUzZTBhNDMwODYyNzdjMDhmZjUiLCJ1c2VySWQiOiI3MzA2Nzg4NzQifQ==</vt:lpwstr>
  </property>
</Properties>
</file>