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13304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且末县第六小学</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584F2FB">
      <w:r>
        <w:br w:type="page"/>
      </w:r>
    </w:p>
    <w:p w14:paraId="3EB9716D">
      <w:pPr>
        <w:spacing w:line="640" w:lineRule="exact"/>
        <w:jc w:val="center"/>
        <w:outlineLvl w:val="1"/>
      </w:pPr>
      <w:r>
        <w:rPr>
          <w:rFonts w:ascii="黑体" w:hAnsi="黑体" w:eastAsia="黑体"/>
          <w:sz w:val="32"/>
        </w:rPr>
        <w:t>第一部分 单位概况</w:t>
      </w:r>
    </w:p>
    <w:p w14:paraId="6070ADC9">
      <w:pPr>
        <w:spacing w:line="640" w:lineRule="exact"/>
        <w:ind w:firstLine="640"/>
        <w:jc w:val="both"/>
        <w:outlineLvl w:val="2"/>
      </w:pPr>
      <w:r>
        <w:rPr>
          <w:rFonts w:ascii="黑体" w:hAnsi="黑体" w:eastAsia="黑体"/>
          <w:sz w:val="32"/>
        </w:rPr>
        <w:t>一、主要职能</w:t>
      </w:r>
    </w:p>
    <w:p w14:paraId="543AE1D7">
      <w:pPr>
        <w:spacing w:line="580" w:lineRule="exact"/>
        <w:ind w:firstLine="640"/>
        <w:jc w:val="both"/>
      </w:pPr>
      <w:r>
        <w:rPr>
          <w:rFonts w:ascii="仿宋_GB2312" w:hAnsi="仿宋_GB2312" w:eastAsia="仿宋_GB2312"/>
          <w:sz w:val="32"/>
        </w:rPr>
        <w:t>全面贯彻执行党的教育方针、政策、法规以及上级教育行政部门的决议、指示，坚持教育的社会主义方向，坚决依法治校。根据党和国家的政策法规以及学校的实际情况，制定实施学校的发展规划和管理目标；制定落实学期、学年工作计划，定期对学校各项工作进行监督、检查和总结。自觉执行党的政策，建设一支忠诚党的教育事业、具有开拓进取精神、热爱学生、德才兼备的教师队伍。认真贯彻上级文体卫生工作的有关方针，建立健全卫生保健制度，开展丰富多彩的文娱体育活动，活跃师生生活，保护学生身心健康。</w:t>
      </w:r>
    </w:p>
    <w:p w14:paraId="4D1ED9B8">
      <w:pPr>
        <w:spacing w:line="640" w:lineRule="exact"/>
        <w:ind w:firstLine="640"/>
        <w:jc w:val="both"/>
        <w:outlineLvl w:val="2"/>
      </w:pPr>
      <w:r>
        <w:rPr>
          <w:rFonts w:ascii="黑体" w:hAnsi="黑体" w:eastAsia="黑体"/>
          <w:sz w:val="32"/>
        </w:rPr>
        <w:t>二、机构设置及人员情况</w:t>
      </w:r>
    </w:p>
    <w:p w14:paraId="4C4E7524">
      <w:pPr>
        <w:spacing w:line="580" w:lineRule="exact"/>
        <w:ind w:firstLine="640"/>
        <w:jc w:val="both"/>
      </w:pPr>
      <w:r>
        <w:rPr>
          <w:rFonts w:ascii="仿宋_GB2312" w:hAnsi="仿宋_GB2312" w:eastAsia="仿宋_GB2312"/>
          <w:sz w:val="32"/>
        </w:rPr>
        <w:t>且末县第六小学2024年度，实有人数92人，其中：在职人员54人，减少1人；离休人员0人，增加0人；退休人员38人,增加0人。</w:t>
      </w:r>
    </w:p>
    <w:p w14:paraId="345BC3F9">
      <w:pPr>
        <w:spacing w:line="580" w:lineRule="exact"/>
        <w:ind w:firstLine="640"/>
        <w:jc w:val="both"/>
      </w:pPr>
      <w:r>
        <w:rPr>
          <w:rFonts w:ascii="仿宋_GB2312" w:hAnsi="仿宋_GB2312" w:eastAsia="仿宋_GB2312"/>
          <w:sz w:val="32"/>
        </w:rPr>
        <w:t>且末县第六小学无下属预算单位，下设5个科室，分别是：办公室、教务处、德育处、总务处、党建办。</w:t>
      </w:r>
    </w:p>
    <w:p w14:paraId="699F6C66">
      <w:r>
        <w:br w:type="page"/>
      </w:r>
    </w:p>
    <w:p w14:paraId="4AC9CEDE">
      <w:pPr>
        <w:spacing w:line="240" w:lineRule="auto"/>
        <w:jc w:val="center"/>
        <w:outlineLvl w:val="1"/>
      </w:pPr>
      <w:r>
        <w:rPr>
          <w:rFonts w:ascii="黑体" w:hAnsi="黑体" w:eastAsia="黑体"/>
          <w:sz w:val="32"/>
        </w:rPr>
        <w:t>第二部分 部门决算情况说明</w:t>
      </w:r>
    </w:p>
    <w:p w14:paraId="11624436">
      <w:pPr>
        <w:spacing w:line="640" w:lineRule="exact"/>
        <w:ind w:firstLine="640"/>
        <w:jc w:val="both"/>
        <w:outlineLvl w:val="2"/>
      </w:pPr>
      <w:r>
        <w:rPr>
          <w:rFonts w:ascii="黑体" w:hAnsi="黑体" w:eastAsia="黑体"/>
          <w:sz w:val="32"/>
        </w:rPr>
        <w:t>一、收入支出决算总体情况说明</w:t>
      </w:r>
    </w:p>
    <w:p w14:paraId="56B83000">
      <w:pPr>
        <w:spacing w:line="580" w:lineRule="exact"/>
        <w:ind w:firstLine="640"/>
        <w:jc w:val="both"/>
      </w:pPr>
      <w:r>
        <w:rPr>
          <w:rFonts w:ascii="仿宋_GB2312" w:hAnsi="仿宋_GB2312" w:eastAsia="仿宋_GB2312"/>
          <w:b/>
          <w:sz w:val="32"/>
        </w:rPr>
        <w:t>2024年度收入总计1,199.96万元，</w:t>
      </w:r>
      <w:r>
        <w:rPr>
          <w:rFonts w:ascii="仿宋_GB2312" w:hAnsi="仿宋_GB2312" w:eastAsia="仿宋_GB2312"/>
          <w:b w:val="0"/>
          <w:sz w:val="32"/>
        </w:rPr>
        <w:t>其中：本年收入合计1,199.96万元，使用非财政拨款结余（含专用结余）0.00万元，年初结转和结余0.00万元。</w:t>
      </w:r>
    </w:p>
    <w:p w14:paraId="5921A3DB">
      <w:pPr>
        <w:spacing w:line="580" w:lineRule="exact"/>
        <w:ind w:firstLine="640"/>
        <w:jc w:val="both"/>
      </w:pPr>
      <w:r>
        <w:rPr>
          <w:rFonts w:ascii="仿宋_GB2312" w:hAnsi="仿宋_GB2312" w:eastAsia="仿宋_GB2312"/>
          <w:b/>
          <w:sz w:val="32"/>
        </w:rPr>
        <w:t>2024年度支出总计1,199.96万元，</w:t>
      </w:r>
      <w:r>
        <w:rPr>
          <w:rFonts w:ascii="仿宋_GB2312" w:hAnsi="仿宋_GB2312" w:eastAsia="仿宋_GB2312"/>
          <w:b w:val="0"/>
          <w:sz w:val="32"/>
        </w:rPr>
        <w:t>其中：本年支出合计1,199.96万元，结余分配0.00万元，年末结转和结余0.00万元。</w:t>
      </w:r>
    </w:p>
    <w:p w14:paraId="27BBEABD">
      <w:pPr>
        <w:spacing w:line="580" w:lineRule="exact"/>
        <w:ind w:firstLine="640"/>
        <w:jc w:val="both"/>
      </w:pPr>
      <w:r>
        <w:rPr>
          <w:rFonts w:ascii="仿宋_GB2312" w:hAnsi="仿宋_GB2312" w:eastAsia="仿宋_GB2312"/>
          <w:b w:val="0"/>
          <w:sz w:val="32"/>
        </w:rPr>
        <w:t>收入支出总体与上年相比，减少286.97万元，下降19.30%，主要原因是：上年补发以前年度绩效工资，本年无此项支出，本年减少聘用人员工资经费、减少维修（护）费、培训费等经费，导致相关经费减少。</w:t>
      </w:r>
    </w:p>
    <w:p w14:paraId="4114D0A0">
      <w:pPr>
        <w:spacing w:line="640" w:lineRule="exact"/>
        <w:ind w:firstLine="640"/>
        <w:jc w:val="both"/>
        <w:outlineLvl w:val="2"/>
      </w:pPr>
      <w:r>
        <w:rPr>
          <w:rFonts w:ascii="黑体" w:hAnsi="黑体" w:eastAsia="黑体"/>
          <w:sz w:val="32"/>
        </w:rPr>
        <w:t>二、收入决算情况说明</w:t>
      </w:r>
    </w:p>
    <w:p w14:paraId="0AE0B458">
      <w:pPr>
        <w:spacing w:line="580" w:lineRule="exact"/>
        <w:ind w:firstLine="640"/>
        <w:jc w:val="both"/>
      </w:pPr>
      <w:r>
        <w:rPr>
          <w:rFonts w:ascii="仿宋_GB2312" w:hAnsi="仿宋_GB2312" w:eastAsia="仿宋_GB2312"/>
          <w:b/>
          <w:sz w:val="32"/>
        </w:rPr>
        <w:t>本年收入1,199.96万元，</w:t>
      </w:r>
      <w:r>
        <w:rPr>
          <w:rFonts w:ascii="仿宋_GB2312" w:hAnsi="仿宋_GB2312" w:eastAsia="仿宋_GB2312"/>
          <w:b w:val="0"/>
          <w:sz w:val="32"/>
        </w:rPr>
        <w:t>其中：财政拨款收入1,199.96万元，占100.00%；上级补助收入0.00万元，占0.00%；事业收入0.00万元，占0.00%；经营收入0.00万元，占0.00%；附属单位上缴收入0.00万元，占0.00%；其他收入0.00万元，占0.00%。</w:t>
      </w:r>
    </w:p>
    <w:p w14:paraId="5598865D">
      <w:pPr>
        <w:spacing w:line="640" w:lineRule="exact"/>
        <w:ind w:firstLine="640"/>
        <w:jc w:val="both"/>
        <w:outlineLvl w:val="2"/>
      </w:pPr>
      <w:r>
        <w:rPr>
          <w:rFonts w:ascii="黑体" w:hAnsi="黑体" w:eastAsia="黑体"/>
          <w:sz w:val="32"/>
        </w:rPr>
        <w:t>三、支出决算情况说明</w:t>
      </w:r>
    </w:p>
    <w:p w14:paraId="16DE53F5">
      <w:pPr>
        <w:spacing w:line="580" w:lineRule="exact"/>
        <w:ind w:firstLine="640"/>
        <w:jc w:val="both"/>
      </w:pPr>
      <w:r>
        <w:rPr>
          <w:rFonts w:ascii="仿宋_GB2312" w:hAnsi="仿宋_GB2312" w:eastAsia="仿宋_GB2312"/>
          <w:b/>
          <w:sz w:val="32"/>
        </w:rPr>
        <w:t>本年支出1,199.96万元，</w:t>
      </w:r>
      <w:r>
        <w:rPr>
          <w:rFonts w:ascii="仿宋_GB2312" w:hAnsi="仿宋_GB2312" w:eastAsia="仿宋_GB2312"/>
          <w:b w:val="0"/>
          <w:sz w:val="32"/>
        </w:rPr>
        <w:t>其中：基本支出1,199.96万元，占100.00%；项目支出0.00万元，占0.00%；上缴上级支出0.00万元，占0.00%；经营支出0.00万元，占0.00%；对附属单位补助支出0.00万元，占0.00%。</w:t>
      </w:r>
    </w:p>
    <w:p w14:paraId="02FAB112">
      <w:pPr>
        <w:spacing w:line="640" w:lineRule="exact"/>
        <w:ind w:firstLine="640"/>
        <w:jc w:val="both"/>
        <w:outlineLvl w:val="2"/>
      </w:pPr>
      <w:r>
        <w:rPr>
          <w:rFonts w:ascii="黑体" w:hAnsi="黑体" w:eastAsia="黑体"/>
          <w:sz w:val="32"/>
        </w:rPr>
        <w:t>四、财政拨款收入支出决算总体情况说明</w:t>
      </w:r>
    </w:p>
    <w:p w14:paraId="28A29E71">
      <w:pPr>
        <w:spacing w:line="580" w:lineRule="exact"/>
        <w:ind w:firstLine="640"/>
        <w:jc w:val="both"/>
      </w:pPr>
      <w:r>
        <w:rPr>
          <w:rFonts w:ascii="仿宋_GB2312" w:hAnsi="仿宋_GB2312" w:eastAsia="仿宋_GB2312"/>
          <w:b/>
          <w:sz w:val="32"/>
        </w:rPr>
        <w:t>2024年度财政拨款收入总计1,199.96万元，</w:t>
      </w:r>
      <w:r>
        <w:rPr>
          <w:rFonts w:ascii="仿宋_GB2312" w:hAnsi="仿宋_GB2312" w:eastAsia="仿宋_GB2312"/>
          <w:b w:val="0"/>
          <w:sz w:val="32"/>
        </w:rPr>
        <w:t>其中：年初财政拨款结转和结余0.00万元，本年财政拨款收入1,199.96万元。</w:t>
      </w:r>
      <w:r>
        <w:rPr>
          <w:rFonts w:ascii="仿宋_GB2312" w:hAnsi="仿宋_GB2312" w:eastAsia="仿宋_GB2312"/>
          <w:b/>
          <w:sz w:val="32"/>
        </w:rPr>
        <w:t>财政拨款支出总计1,199.96万元，</w:t>
      </w:r>
      <w:r>
        <w:rPr>
          <w:rFonts w:ascii="仿宋_GB2312" w:hAnsi="仿宋_GB2312" w:eastAsia="仿宋_GB2312"/>
          <w:b w:val="0"/>
          <w:sz w:val="32"/>
        </w:rPr>
        <w:t>其中：年末财政拨款结转和结余0.00万元，本年财政拨款支出1,199.96万元。</w:t>
      </w:r>
    </w:p>
    <w:p w14:paraId="78BB1FAD">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减少286.97万元，下降19.30%，主要原因是：上年补发以前年度绩效工资，本年无此项支出，本年减少聘用人员工资经费、减少维修（护）费、培训费等经费，导致相关经费减少。</w:t>
      </w:r>
      <w:r>
        <w:rPr>
          <w:rFonts w:ascii="仿宋_GB2312" w:hAnsi="仿宋_GB2312" w:eastAsia="仿宋_GB2312"/>
          <w:b/>
          <w:sz w:val="32"/>
        </w:rPr>
        <w:t>与年初预算相比，</w:t>
      </w:r>
      <w:r>
        <w:rPr>
          <w:rFonts w:ascii="仿宋_GB2312" w:hAnsi="仿宋_GB2312" w:eastAsia="仿宋_GB2312"/>
          <w:b w:val="0"/>
          <w:sz w:val="32"/>
        </w:rPr>
        <w:t>年初预算数1,124.74万元，决算数1,199.96万元，预决算差异率6.69%，主要原因是：年中追加人员工资、社保、公积金基数调增部分资金，导致预决算存在差异。</w:t>
      </w:r>
    </w:p>
    <w:p w14:paraId="24A70C2C">
      <w:pPr>
        <w:spacing w:line="640" w:lineRule="exact"/>
        <w:ind w:firstLine="640"/>
        <w:jc w:val="both"/>
        <w:outlineLvl w:val="2"/>
      </w:pPr>
      <w:r>
        <w:rPr>
          <w:rFonts w:ascii="黑体" w:hAnsi="黑体" w:eastAsia="黑体"/>
          <w:sz w:val="32"/>
        </w:rPr>
        <w:t>五、一般公共预算财政拨款支出决算情况说明</w:t>
      </w:r>
    </w:p>
    <w:p w14:paraId="43FD7C51">
      <w:pPr>
        <w:spacing w:line="640" w:lineRule="exact"/>
        <w:ind w:firstLine="640"/>
        <w:jc w:val="both"/>
        <w:outlineLvl w:val="3"/>
      </w:pPr>
      <w:r>
        <w:rPr>
          <w:rFonts w:ascii="楷体_GB2312" w:hAnsi="楷体_GB2312" w:eastAsia="楷体_GB2312"/>
          <w:b/>
          <w:sz w:val="32"/>
        </w:rPr>
        <w:t>（一）一般公共预算财政拨款支出决算总体情况</w:t>
      </w:r>
    </w:p>
    <w:p w14:paraId="52BDD4D9">
      <w:pPr>
        <w:spacing w:line="580" w:lineRule="exact"/>
        <w:ind w:firstLine="640"/>
        <w:jc w:val="both"/>
      </w:pPr>
      <w:r>
        <w:rPr>
          <w:rFonts w:ascii="仿宋_GB2312" w:hAnsi="仿宋_GB2312" w:eastAsia="仿宋_GB2312"/>
          <w:b/>
          <w:sz w:val="32"/>
        </w:rPr>
        <w:t>2024年度一般公共预算财政拨款支出1,199.96万元，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减少286.97万元，下降19.30%，主要原因是：上年补发以前年度绩效工资，本年无此项支出，本年减少聘用人员工资经费、减少维修（护）费、培训费等经费，导致相关经费减少。</w:t>
      </w:r>
      <w:r>
        <w:rPr>
          <w:rFonts w:ascii="仿宋_GB2312" w:hAnsi="仿宋_GB2312" w:eastAsia="仿宋_GB2312"/>
          <w:b/>
          <w:sz w:val="32"/>
        </w:rPr>
        <w:t>与年初预算相比,</w:t>
      </w:r>
      <w:r>
        <w:rPr>
          <w:rFonts w:ascii="仿宋_GB2312" w:hAnsi="仿宋_GB2312" w:eastAsia="仿宋_GB2312"/>
          <w:b w:val="0"/>
          <w:sz w:val="32"/>
        </w:rPr>
        <w:t>年初预算数1,124.74万元，决算数1,199.96万元，预决算差异率6.69%，主要原因是：年中追加人员工资、社保、公积金基数调增部分资金，导致预决算存在差异。</w:t>
      </w:r>
    </w:p>
    <w:p w14:paraId="4E36B41F">
      <w:pPr>
        <w:spacing w:line="640" w:lineRule="exact"/>
        <w:ind w:firstLine="640"/>
        <w:jc w:val="both"/>
        <w:outlineLvl w:val="3"/>
      </w:pPr>
      <w:r>
        <w:rPr>
          <w:rFonts w:ascii="楷体_GB2312" w:hAnsi="楷体_GB2312" w:eastAsia="楷体_GB2312"/>
          <w:b/>
          <w:sz w:val="32"/>
        </w:rPr>
        <w:t>（二）一般公共预算财政拨款支出决算结构情况</w:t>
      </w:r>
    </w:p>
    <w:p w14:paraId="46EAA1A7">
      <w:pPr>
        <w:spacing w:line="580" w:lineRule="exact"/>
        <w:ind w:firstLine="640"/>
        <w:jc w:val="both"/>
      </w:pPr>
      <w:r>
        <w:rPr>
          <w:rFonts w:ascii="仿宋_GB2312" w:hAnsi="仿宋_GB2312" w:eastAsia="仿宋_GB2312"/>
          <w:b w:val="0"/>
          <w:sz w:val="32"/>
        </w:rPr>
        <w:t>1.教育支出(类)1,199.96万元,占100.00%。</w:t>
      </w:r>
    </w:p>
    <w:p w14:paraId="76C17C94">
      <w:pPr>
        <w:spacing w:line="640" w:lineRule="exact"/>
        <w:ind w:firstLine="640"/>
        <w:jc w:val="both"/>
        <w:outlineLvl w:val="3"/>
      </w:pPr>
      <w:r>
        <w:rPr>
          <w:rFonts w:ascii="楷体_GB2312" w:hAnsi="楷体_GB2312" w:eastAsia="楷体_GB2312"/>
          <w:b/>
          <w:sz w:val="32"/>
        </w:rPr>
        <w:t>（三）一般公共预算财政拨款支出决算具体情况</w:t>
      </w:r>
    </w:p>
    <w:p w14:paraId="754BE331">
      <w:pPr>
        <w:spacing w:line="580" w:lineRule="exact"/>
        <w:ind w:firstLine="640"/>
        <w:jc w:val="both"/>
      </w:pPr>
      <w:r>
        <w:rPr>
          <w:rFonts w:ascii="仿宋_GB2312" w:hAnsi="仿宋_GB2312" w:eastAsia="仿宋_GB2312"/>
          <w:b w:val="0"/>
          <w:sz w:val="32"/>
        </w:rPr>
        <w:t>1.教育支出(类)普通教育(款)小学教育(项):支出决算数为1,199.96万元，比上年决算减少184.75万元，下降13.34%,主要原因是：上年补发以前年度绩效工资，本年无此项支出，本年减少聘用人员工资经费、减少维修（护）费、培训费等经费，导致相关经费减少。</w:t>
      </w:r>
    </w:p>
    <w:p w14:paraId="3750C230">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0.00万元，比上年决算减少102.22万元，下降100.00%,主要原因是：本年功能科目调整，养老保险缴费上年度单独列支，本年调整至主科目列支，导致经费较上年减少。</w:t>
      </w:r>
    </w:p>
    <w:p w14:paraId="781609A3">
      <w:pPr>
        <w:spacing w:line="640" w:lineRule="exact"/>
        <w:ind w:firstLine="640"/>
        <w:jc w:val="both"/>
        <w:outlineLvl w:val="2"/>
      </w:pPr>
      <w:r>
        <w:rPr>
          <w:rFonts w:ascii="黑体" w:hAnsi="黑体" w:eastAsia="黑体"/>
          <w:sz w:val="32"/>
        </w:rPr>
        <w:t>六、一般公共预算财政拨款基本支出决算情况说明</w:t>
      </w:r>
    </w:p>
    <w:p w14:paraId="779AC617">
      <w:pPr>
        <w:spacing w:line="580" w:lineRule="exact"/>
        <w:ind w:firstLine="640"/>
        <w:jc w:val="both"/>
      </w:pPr>
      <w:r>
        <w:rPr>
          <w:rFonts w:ascii="仿宋_GB2312" w:hAnsi="仿宋_GB2312" w:eastAsia="仿宋_GB2312"/>
          <w:b w:val="0"/>
          <w:sz w:val="32"/>
        </w:rPr>
        <w:t>2024年度一般公共预算财政拨款基本支出1,199.96万元，其中：</w:t>
      </w:r>
      <w:r>
        <w:rPr>
          <w:rFonts w:ascii="仿宋_GB2312" w:hAnsi="仿宋_GB2312" w:eastAsia="仿宋_GB2312"/>
          <w:b/>
          <w:sz w:val="32"/>
        </w:rPr>
        <w:t>人员经费1,152.99万元，</w:t>
      </w:r>
      <w:r>
        <w:rPr>
          <w:rFonts w:ascii="仿宋_GB2312" w:hAnsi="仿宋_GB2312" w:eastAsia="仿宋_GB2312"/>
          <w:b w:val="0"/>
          <w:sz w:val="32"/>
        </w:rPr>
        <w:t>包括：基本工资、津贴补贴、奖金、机关事业单位基本养老保险缴费、职业年金缴费、职工基本医疗保险缴费、其他社会保障缴费、住房公积金、其他工资福利支出、退休费、抚恤金、助学金、奖励金。</w:t>
      </w:r>
    </w:p>
    <w:p w14:paraId="508DF3C2">
      <w:pPr>
        <w:spacing w:line="580" w:lineRule="exact"/>
        <w:ind w:firstLine="640"/>
        <w:jc w:val="both"/>
      </w:pPr>
      <w:r>
        <w:rPr>
          <w:rFonts w:ascii="仿宋_GB2312" w:hAnsi="仿宋_GB2312" w:eastAsia="仿宋_GB2312"/>
          <w:b/>
          <w:sz w:val="32"/>
        </w:rPr>
        <w:t>公用经费46.96万元，</w:t>
      </w:r>
      <w:r>
        <w:rPr>
          <w:rFonts w:ascii="仿宋_GB2312" w:hAnsi="仿宋_GB2312" w:eastAsia="仿宋_GB2312"/>
          <w:b w:val="0"/>
          <w:sz w:val="32"/>
        </w:rPr>
        <w:t>包括：办公费、水费、电费、邮电费、取暖费、差旅费、维修（护）费、培训费、其他商品和服务支出、办公设备购置。</w:t>
      </w:r>
    </w:p>
    <w:p w14:paraId="07266BAC">
      <w:pPr>
        <w:spacing w:line="640" w:lineRule="exact"/>
        <w:ind w:firstLine="640"/>
        <w:jc w:val="both"/>
        <w:outlineLvl w:val="2"/>
      </w:pPr>
      <w:r>
        <w:rPr>
          <w:rFonts w:ascii="黑体" w:hAnsi="黑体" w:eastAsia="黑体"/>
          <w:sz w:val="32"/>
        </w:rPr>
        <w:t>七、政府性基金预算财政拨款收入支出决算情况说明</w:t>
      </w:r>
    </w:p>
    <w:p w14:paraId="465EEE6E">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303B7F5">
      <w:pPr>
        <w:spacing w:line="640" w:lineRule="exact"/>
        <w:ind w:firstLine="640"/>
        <w:jc w:val="both"/>
        <w:outlineLvl w:val="2"/>
      </w:pPr>
      <w:r>
        <w:rPr>
          <w:rFonts w:ascii="黑体" w:hAnsi="黑体" w:eastAsia="黑体"/>
          <w:sz w:val="32"/>
        </w:rPr>
        <w:t>八、国有资本经营预算财政拨款收入支出决算情况说明</w:t>
      </w:r>
    </w:p>
    <w:p w14:paraId="0B635670">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0F7E45F">
      <w:pPr>
        <w:spacing w:line="640" w:lineRule="exact"/>
        <w:ind w:firstLine="640"/>
        <w:jc w:val="both"/>
        <w:outlineLvl w:val="2"/>
      </w:pPr>
      <w:r>
        <w:rPr>
          <w:rFonts w:ascii="黑体" w:hAnsi="黑体" w:eastAsia="黑体"/>
          <w:sz w:val="32"/>
        </w:rPr>
        <w:t>九、财政拨款“三公”经费支出决算情况说明</w:t>
      </w:r>
    </w:p>
    <w:p w14:paraId="614DA18E">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3B61902C">
      <w:pPr>
        <w:spacing w:line="580" w:lineRule="exact"/>
        <w:ind w:firstLine="640"/>
        <w:jc w:val="both"/>
      </w:pPr>
      <w:r>
        <w:rPr>
          <w:rFonts w:ascii="仿宋_GB2312" w:hAnsi="仿宋_GB2312" w:eastAsia="仿宋_GB2312"/>
          <w:b/>
          <w:sz w:val="32"/>
        </w:rPr>
        <w:t>具体情况如下：</w:t>
      </w:r>
    </w:p>
    <w:p w14:paraId="3F6B05EE">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A354249">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301464DA">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6EE55EF">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5CE99F80">
      <w:pPr>
        <w:spacing w:line="640" w:lineRule="exact"/>
        <w:ind w:firstLine="640"/>
        <w:jc w:val="both"/>
        <w:outlineLvl w:val="2"/>
      </w:pPr>
      <w:r>
        <w:rPr>
          <w:rFonts w:ascii="黑体" w:hAnsi="黑体" w:eastAsia="黑体"/>
          <w:sz w:val="32"/>
        </w:rPr>
        <w:t>十、其他重要事项的情况说明</w:t>
      </w:r>
    </w:p>
    <w:p w14:paraId="7DB21FAC">
      <w:pPr>
        <w:spacing w:line="640" w:lineRule="exact"/>
        <w:ind w:firstLine="640"/>
        <w:jc w:val="both"/>
        <w:outlineLvl w:val="3"/>
      </w:pPr>
      <w:r>
        <w:rPr>
          <w:rFonts w:ascii="楷体_GB2312" w:hAnsi="楷体_GB2312" w:eastAsia="楷体_GB2312"/>
          <w:b/>
          <w:sz w:val="32"/>
        </w:rPr>
        <w:t>（一）机关运行经费及公用经费支出情况</w:t>
      </w:r>
    </w:p>
    <w:p w14:paraId="31225F60">
      <w:pPr>
        <w:spacing w:line="580" w:lineRule="exact"/>
        <w:ind w:firstLine="640"/>
        <w:jc w:val="both"/>
      </w:pPr>
      <w:r>
        <w:rPr>
          <w:rFonts w:ascii="仿宋_GB2312" w:hAnsi="仿宋_GB2312" w:eastAsia="仿宋_GB2312"/>
          <w:b w:val="0"/>
          <w:sz w:val="32"/>
        </w:rPr>
        <w:t>2024年度且末县第六小学（事业单位）公用经费支出46.96万元，比上年减少35.38万元，下降42.97%，主要原因是：本年</w:t>
      </w:r>
      <w:bookmarkStart w:id="0" w:name="_GoBack"/>
      <w:r>
        <w:rPr>
          <w:rFonts w:hint="eastAsia" w:ascii="仿宋_GB2312" w:hAnsi="仿宋_GB2312" w:eastAsia="仿宋_GB2312"/>
          <w:b w:val="0"/>
          <w:sz w:val="32"/>
          <w:lang w:eastAsia="zh-CN"/>
        </w:rPr>
        <w:t>减少</w:t>
      </w:r>
      <w:bookmarkEnd w:id="0"/>
      <w:r>
        <w:rPr>
          <w:rFonts w:ascii="仿宋_GB2312" w:hAnsi="仿宋_GB2312" w:eastAsia="仿宋_GB2312"/>
          <w:b w:val="0"/>
          <w:sz w:val="32"/>
        </w:rPr>
        <w:t>维修（护）费、培训费等经费，导致公用经费支出减少。</w:t>
      </w:r>
    </w:p>
    <w:p w14:paraId="2E301814">
      <w:pPr>
        <w:spacing w:line="640" w:lineRule="exact"/>
        <w:ind w:firstLine="640"/>
        <w:jc w:val="both"/>
        <w:outlineLvl w:val="3"/>
      </w:pPr>
      <w:r>
        <w:rPr>
          <w:rFonts w:ascii="楷体_GB2312" w:hAnsi="楷体_GB2312" w:eastAsia="楷体_GB2312"/>
          <w:b/>
          <w:sz w:val="32"/>
        </w:rPr>
        <w:t>（二）政府采购情况</w:t>
      </w:r>
    </w:p>
    <w:p w14:paraId="7CC745B5">
      <w:pPr>
        <w:spacing w:line="580" w:lineRule="exact"/>
        <w:ind w:firstLine="640"/>
        <w:jc w:val="both"/>
      </w:pPr>
      <w:r>
        <w:rPr>
          <w:rFonts w:ascii="仿宋_GB2312" w:hAnsi="仿宋_GB2312" w:eastAsia="仿宋_GB2312"/>
          <w:b w:val="0"/>
          <w:sz w:val="32"/>
        </w:rPr>
        <w:t>2024年度政府采购支出总额40.79万元，其中：政府采购货物支出25.35万元、政府采购工程支出0.00万元、政府采购服务支出15.45万元。</w:t>
      </w:r>
    </w:p>
    <w:p w14:paraId="6D154511">
      <w:pPr>
        <w:spacing w:line="580" w:lineRule="exact"/>
        <w:ind w:firstLine="640"/>
        <w:jc w:val="both"/>
      </w:pPr>
      <w:r>
        <w:rPr>
          <w:rFonts w:ascii="仿宋_GB2312" w:hAnsi="仿宋_GB2312" w:eastAsia="仿宋_GB2312"/>
          <w:b w:val="0"/>
          <w:sz w:val="32"/>
        </w:rPr>
        <w:t>授予中小企业合同金额24.45万元，占政府采购支出总额的59.94%，其中：授予小微企业合同金额23.10万元，占政府采购支出总额的56.63%。</w:t>
      </w:r>
    </w:p>
    <w:p w14:paraId="2AC6ED1B">
      <w:pPr>
        <w:spacing w:line="640" w:lineRule="exact"/>
        <w:ind w:firstLine="640"/>
        <w:jc w:val="both"/>
        <w:outlineLvl w:val="3"/>
      </w:pPr>
      <w:r>
        <w:rPr>
          <w:rFonts w:ascii="楷体_GB2312" w:hAnsi="楷体_GB2312" w:eastAsia="楷体_GB2312"/>
          <w:b/>
          <w:sz w:val="32"/>
        </w:rPr>
        <w:t>（三）国有资产占用情况说明</w:t>
      </w:r>
    </w:p>
    <w:p w14:paraId="248E0D09">
      <w:pPr>
        <w:spacing w:line="580" w:lineRule="exact"/>
        <w:ind w:firstLine="640"/>
        <w:jc w:val="both"/>
      </w:pPr>
      <w:r>
        <w:rPr>
          <w:rFonts w:ascii="仿宋_GB2312" w:hAnsi="仿宋_GB2312" w:eastAsia="仿宋_GB2312"/>
          <w:b w:val="0"/>
          <w:sz w:val="32"/>
        </w:rPr>
        <w:t>截至2024年12月31日，房屋3,628.45平方米，价值921.56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65CA2B3B">
      <w:pPr>
        <w:spacing w:line="640" w:lineRule="exact"/>
        <w:ind w:firstLine="640"/>
        <w:jc w:val="both"/>
        <w:outlineLvl w:val="2"/>
      </w:pPr>
      <w:r>
        <w:rPr>
          <w:rFonts w:ascii="黑体" w:hAnsi="黑体" w:eastAsia="黑体"/>
          <w:sz w:val="32"/>
        </w:rPr>
        <w:t>十一、预算绩效的情况说明</w:t>
      </w:r>
    </w:p>
    <w:p w14:paraId="168F0546">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本单位本年无项目支出绩效自评表。发现的问题及原因：本单位本年无项目支出绩效自评表。下一步改进措施：本单位本年无项目支出绩效自评表。</w:t>
      </w:r>
    </w:p>
    <w:p w14:paraId="70AF861F">
      <w:r>
        <w:br w:type="page"/>
      </w:r>
    </w:p>
    <w:p w14:paraId="2B25FE5B">
      <w:pPr>
        <w:spacing w:line="640" w:lineRule="exact"/>
        <w:ind w:firstLine="640"/>
        <w:jc w:val="both"/>
        <w:outlineLvl w:val="2"/>
      </w:pPr>
      <w:r>
        <w:rPr>
          <w:rFonts w:ascii="黑体" w:hAnsi="黑体" w:eastAsia="黑体"/>
          <w:sz w:val="32"/>
        </w:rPr>
        <w:t>十二、其他需说明的事项</w:t>
      </w:r>
    </w:p>
    <w:p w14:paraId="6660B151">
      <w:pPr>
        <w:spacing w:line="580" w:lineRule="exact"/>
        <w:ind w:firstLine="640"/>
        <w:jc w:val="both"/>
      </w:pPr>
      <w:r>
        <w:rPr>
          <w:rFonts w:ascii="仿宋_GB2312" w:hAnsi="仿宋_GB2312" w:eastAsia="仿宋_GB2312"/>
          <w:b w:val="0"/>
          <w:sz w:val="32"/>
        </w:rPr>
        <w:t>本年度本单位整体绩效自评表由主管部门编报并公开。</w:t>
      </w:r>
    </w:p>
    <w:p w14:paraId="685BDEB3">
      <w:r>
        <w:br w:type="page"/>
      </w:r>
    </w:p>
    <w:p w14:paraId="457B2A4D">
      <w:pPr>
        <w:spacing w:line="240" w:lineRule="auto"/>
        <w:jc w:val="center"/>
        <w:outlineLvl w:val="1"/>
      </w:pPr>
      <w:r>
        <w:rPr>
          <w:rFonts w:ascii="黑体" w:hAnsi="黑体" w:eastAsia="黑体"/>
          <w:sz w:val="32"/>
        </w:rPr>
        <w:t>第三部分 专业名词解释</w:t>
      </w:r>
    </w:p>
    <w:p w14:paraId="70FE32AB">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F154AE0">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C3C65E6">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2292453">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B70773D">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C6DBAA0">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6AE3C77">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177947B">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FCA4FB9">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4EF33C3">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15A361E">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CFB7617">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64FEB23">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DED3605">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7F9AA51">
      <w:r>
        <w:br w:type="page"/>
      </w:r>
    </w:p>
    <w:p w14:paraId="62A40BE9">
      <w:pPr>
        <w:spacing w:line="240" w:lineRule="auto"/>
        <w:jc w:val="center"/>
        <w:outlineLvl w:val="1"/>
      </w:pPr>
      <w:r>
        <w:rPr>
          <w:rFonts w:ascii="黑体" w:hAnsi="黑体" w:eastAsia="黑体"/>
          <w:sz w:val="32"/>
        </w:rPr>
        <w:t>第四部分 部门决算报表（见附表）</w:t>
      </w:r>
    </w:p>
    <w:p w14:paraId="5C552292">
      <w:pPr>
        <w:spacing w:line="240" w:lineRule="auto"/>
        <w:ind w:firstLine="640"/>
        <w:jc w:val="both"/>
      </w:pPr>
      <w:r>
        <w:rPr>
          <w:rFonts w:ascii="仿宋_GB2312" w:hAnsi="仿宋_GB2312" w:eastAsia="仿宋_GB2312"/>
          <w:b w:val="0"/>
          <w:sz w:val="32"/>
        </w:rPr>
        <w:t>一、《收入支出决算总表》</w:t>
      </w:r>
    </w:p>
    <w:p w14:paraId="4C1934A1">
      <w:pPr>
        <w:spacing w:line="240" w:lineRule="auto"/>
        <w:ind w:firstLine="640"/>
        <w:jc w:val="both"/>
      </w:pPr>
      <w:r>
        <w:rPr>
          <w:rFonts w:ascii="仿宋_GB2312" w:hAnsi="仿宋_GB2312" w:eastAsia="仿宋_GB2312"/>
          <w:b w:val="0"/>
          <w:sz w:val="32"/>
        </w:rPr>
        <w:t>二、《收入决算表》</w:t>
      </w:r>
    </w:p>
    <w:p w14:paraId="0F559578">
      <w:pPr>
        <w:spacing w:line="240" w:lineRule="auto"/>
        <w:ind w:firstLine="640"/>
        <w:jc w:val="both"/>
      </w:pPr>
      <w:r>
        <w:rPr>
          <w:rFonts w:ascii="仿宋_GB2312" w:hAnsi="仿宋_GB2312" w:eastAsia="仿宋_GB2312"/>
          <w:b w:val="0"/>
          <w:sz w:val="32"/>
        </w:rPr>
        <w:t>三、《支出决算表》</w:t>
      </w:r>
    </w:p>
    <w:p w14:paraId="43D6C10F">
      <w:pPr>
        <w:spacing w:line="240" w:lineRule="auto"/>
        <w:ind w:firstLine="640"/>
        <w:jc w:val="both"/>
      </w:pPr>
      <w:r>
        <w:rPr>
          <w:rFonts w:ascii="仿宋_GB2312" w:hAnsi="仿宋_GB2312" w:eastAsia="仿宋_GB2312"/>
          <w:b w:val="0"/>
          <w:sz w:val="32"/>
        </w:rPr>
        <w:t>四、《财政拨款收入支出决算总表》</w:t>
      </w:r>
    </w:p>
    <w:p w14:paraId="49A01CEE">
      <w:pPr>
        <w:spacing w:line="240" w:lineRule="auto"/>
        <w:ind w:firstLine="640"/>
        <w:jc w:val="both"/>
      </w:pPr>
      <w:r>
        <w:rPr>
          <w:rFonts w:ascii="仿宋_GB2312" w:hAnsi="仿宋_GB2312" w:eastAsia="仿宋_GB2312"/>
          <w:b w:val="0"/>
          <w:sz w:val="32"/>
        </w:rPr>
        <w:t>五、《一般公共预算财政拨款支出决算表》</w:t>
      </w:r>
    </w:p>
    <w:p w14:paraId="43444E66">
      <w:pPr>
        <w:spacing w:line="240" w:lineRule="auto"/>
        <w:ind w:firstLine="640"/>
        <w:jc w:val="both"/>
      </w:pPr>
      <w:r>
        <w:rPr>
          <w:rFonts w:ascii="仿宋_GB2312" w:hAnsi="仿宋_GB2312" w:eastAsia="仿宋_GB2312"/>
          <w:b w:val="0"/>
          <w:sz w:val="32"/>
        </w:rPr>
        <w:t>六、《一般公共预算财政拨款基本支出决算表》</w:t>
      </w:r>
    </w:p>
    <w:p w14:paraId="0FBD83F5">
      <w:pPr>
        <w:spacing w:line="240" w:lineRule="auto"/>
        <w:ind w:firstLine="640"/>
        <w:jc w:val="both"/>
      </w:pPr>
      <w:r>
        <w:rPr>
          <w:rFonts w:ascii="仿宋_GB2312" w:hAnsi="仿宋_GB2312" w:eastAsia="仿宋_GB2312"/>
          <w:b w:val="0"/>
          <w:sz w:val="32"/>
        </w:rPr>
        <w:t>七、《政府性基金预算财政拨款收入支出决算表》</w:t>
      </w:r>
    </w:p>
    <w:p w14:paraId="0B8F67C0">
      <w:pPr>
        <w:spacing w:line="240" w:lineRule="auto"/>
        <w:ind w:firstLine="640"/>
        <w:jc w:val="both"/>
      </w:pPr>
      <w:r>
        <w:rPr>
          <w:rFonts w:ascii="仿宋_GB2312" w:hAnsi="仿宋_GB2312" w:eastAsia="仿宋_GB2312"/>
          <w:b w:val="0"/>
          <w:sz w:val="32"/>
        </w:rPr>
        <w:t>八、《国有资本经营预算财政拨款收入支出决算表》</w:t>
      </w:r>
    </w:p>
    <w:p w14:paraId="3DEDCAB8">
      <w:pPr>
        <w:spacing w:line="240" w:lineRule="auto"/>
        <w:ind w:firstLine="640"/>
        <w:jc w:val="both"/>
      </w:pPr>
      <w:r>
        <w:rPr>
          <w:rFonts w:ascii="仿宋_GB2312" w:hAnsi="仿宋_GB2312" w:eastAsia="仿宋_GB2312"/>
          <w:b w:val="0"/>
          <w:sz w:val="32"/>
        </w:rPr>
        <w:t>九、《财政拨款“三公”经费支出决算表》</w:t>
      </w:r>
    </w:p>
    <w:p w14:paraId="23C7DBE4">
      <w:pPr>
        <w:spacing w:line="240" w:lineRule="auto"/>
        <w:ind w:firstLine="640"/>
        <w:jc w:val="both"/>
      </w:pPr>
    </w:p>
    <w:p w14:paraId="3390F54C">
      <w:pPr>
        <w:spacing w:line="240" w:lineRule="auto"/>
        <w:ind w:firstLine="640"/>
        <w:jc w:val="both"/>
      </w:pPr>
    </w:p>
    <w:p w14:paraId="5DC15680">
      <w:pPr>
        <w:spacing w:line="240" w:lineRule="auto"/>
        <w:ind w:firstLine="640"/>
        <w:jc w:val="both"/>
      </w:pPr>
    </w:p>
    <w:p w14:paraId="4F2F14E9">
      <w:pPr>
        <w:spacing w:line="240" w:lineRule="auto"/>
        <w:ind w:firstLine="640"/>
        <w:jc w:val="both"/>
      </w:pPr>
    </w:p>
    <w:p w14:paraId="616C1AAA">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EA43AC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4711</Words>
  <Characters>5288</Characters>
  <Lines>0</Lines>
  <Paragraphs>0</Paragraphs>
  <TotalTime>0</TotalTime>
  <ScaleCrop>false</ScaleCrop>
  <LinksUpToDate>false</LinksUpToDate>
  <CharactersWithSpaces>5298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GaYi.</cp:lastModifiedBy>
  <cp:lastPrinted>2024-07-22T11:58:00Z</cp:lastPrinted>
  <dcterms:modified xsi:type="dcterms:W3CDTF">2025-09-25T11:16:46Z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eyJoZGlkIjoiNTliMzZiYjRlN2VlNDIwNWJkNWMyNGYxMWEyN2ViYWUiLCJ1c2VySWQiOiI0NDQ5NDYzNjEifQ==</vt:lpwstr>
  </property>
</Properties>
</file>