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且末县第七小学2024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0C984A">
      <w:r>
        <w:br w:type="page"/>
      </w:r>
    </w:p>
    <w:p w14:paraId="11637094">
      <w:pPr>
        <w:spacing w:line="640" w:lineRule="exact"/>
        <w:jc w:val="center"/>
        <w:outlineLvl w:val="1"/>
      </w:pPr>
      <w:r>
        <w:rPr>
          <w:rFonts w:ascii="黑体" w:hAnsi="黑体" w:eastAsia="黑体"/>
          <w:sz w:val="32"/>
        </w:rPr>
        <w:t>第一部分 单位概况</w:t>
      </w:r>
    </w:p>
    <w:p w14:paraId="6EBBD4D9">
      <w:pPr>
        <w:spacing w:line="640" w:lineRule="exact"/>
        <w:ind w:firstLine="640"/>
        <w:jc w:val="both"/>
        <w:outlineLvl w:val="2"/>
      </w:pPr>
      <w:r>
        <w:rPr>
          <w:rFonts w:ascii="黑体" w:hAnsi="黑体" w:eastAsia="黑体"/>
          <w:sz w:val="32"/>
        </w:rPr>
        <w:t>一、主要职能</w:t>
      </w:r>
    </w:p>
    <w:p w14:paraId="417F1828">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坚决按教育规律办好学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3DC0567A">
      <w:pPr>
        <w:spacing w:line="640" w:lineRule="exact"/>
        <w:ind w:firstLine="640"/>
        <w:jc w:val="both"/>
        <w:outlineLvl w:val="2"/>
      </w:pPr>
      <w:r>
        <w:rPr>
          <w:rFonts w:ascii="黑体" w:hAnsi="黑体" w:eastAsia="黑体"/>
          <w:sz w:val="32"/>
        </w:rPr>
        <w:t>二、机构设置及人员情况</w:t>
      </w:r>
    </w:p>
    <w:p w14:paraId="1391A232">
      <w:pPr>
        <w:spacing w:line="580" w:lineRule="exact"/>
        <w:ind w:firstLine="640"/>
        <w:jc w:val="both"/>
      </w:pPr>
      <w:r>
        <w:rPr>
          <w:rFonts w:ascii="仿宋_GB2312" w:hAnsi="仿宋_GB2312" w:eastAsia="仿宋_GB2312"/>
          <w:sz w:val="32"/>
        </w:rPr>
        <w:t>且末县第七小学2024年度，实有人数42人，其中：在职人员27人，减少1人；离休人员0人，增加0人；退休人员15人,增加1人。</w:t>
      </w:r>
    </w:p>
    <w:p w14:paraId="5F9A3356">
      <w:pPr>
        <w:spacing w:line="580" w:lineRule="exact"/>
        <w:ind w:firstLine="640"/>
        <w:jc w:val="both"/>
      </w:pPr>
      <w:r>
        <w:rPr>
          <w:rFonts w:ascii="仿宋_GB2312" w:hAnsi="仿宋_GB2312" w:eastAsia="仿宋_GB2312"/>
          <w:sz w:val="32"/>
        </w:rPr>
        <w:t>且末县第七小学无下属预算单位，下设5个科室，分别是：办公室、教务处、德育处、总务处、党建办。</w:t>
      </w:r>
    </w:p>
    <w:p w14:paraId="67B23DDD">
      <w:r>
        <w:br w:type="page"/>
      </w:r>
    </w:p>
    <w:p w14:paraId="3AF1F5A4">
      <w:pPr>
        <w:spacing w:line="240" w:lineRule="auto"/>
        <w:jc w:val="center"/>
        <w:outlineLvl w:val="1"/>
      </w:pPr>
      <w:r>
        <w:rPr>
          <w:rFonts w:ascii="黑体" w:hAnsi="黑体" w:eastAsia="黑体"/>
          <w:sz w:val="32"/>
        </w:rPr>
        <w:t>第二部分 部门决算情况说明</w:t>
      </w:r>
    </w:p>
    <w:p w14:paraId="648188F6">
      <w:pPr>
        <w:spacing w:line="640" w:lineRule="exact"/>
        <w:ind w:firstLine="640"/>
        <w:jc w:val="both"/>
        <w:outlineLvl w:val="2"/>
      </w:pPr>
      <w:r>
        <w:rPr>
          <w:rFonts w:ascii="黑体" w:hAnsi="黑体" w:eastAsia="黑体"/>
          <w:sz w:val="32"/>
        </w:rPr>
        <w:t>一、收入支出决算总体情况说明</w:t>
      </w:r>
    </w:p>
    <w:p w14:paraId="28C1FA3C">
      <w:pPr>
        <w:spacing w:line="580" w:lineRule="exact"/>
        <w:ind w:firstLine="640"/>
        <w:jc w:val="both"/>
      </w:pPr>
      <w:r>
        <w:rPr>
          <w:rFonts w:ascii="仿宋_GB2312" w:hAnsi="仿宋_GB2312" w:eastAsia="仿宋_GB2312"/>
          <w:b/>
          <w:sz w:val="32"/>
        </w:rPr>
        <w:t>2024年度收入总计612.12万元，</w:t>
      </w:r>
      <w:r>
        <w:rPr>
          <w:rFonts w:ascii="仿宋_GB2312" w:hAnsi="仿宋_GB2312" w:eastAsia="仿宋_GB2312"/>
          <w:b w:val="0"/>
          <w:sz w:val="32"/>
        </w:rPr>
        <w:t>其中：本年收入合计612.12万元，使用非财政拨款结余（含专用结余）0.00万元，年初结转和结余0.00万元。</w:t>
      </w:r>
    </w:p>
    <w:p w14:paraId="20405A4F">
      <w:pPr>
        <w:spacing w:line="580" w:lineRule="exact"/>
        <w:ind w:firstLine="640"/>
        <w:jc w:val="both"/>
      </w:pPr>
      <w:r>
        <w:rPr>
          <w:rFonts w:ascii="仿宋_GB2312" w:hAnsi="仿宋_GB2312" w:eastAsia="仿宋_GB2312"/>
          <w:b/>
          <w:sz w:val="32"/>
        </w:rPr>
        <w:t>2024年度支出总计612.12万元，</w:t>
      </w:r>
      <w:r>
        <w:rPr>
          <w:rFonts w:ascii="仿宋_GB2312" w:hAnsi="仿宋_GB2312" w:eastAsia="仿宋_GB2312"/>
          <w:b w:val="0"/>
          <w:sz w:val="32"/>
        </w:rPr>
        <w:t>其中：本年支出合计612.12万元，结余分配0.00万元，年末结转和结余0.00万元。</w:t>
      </w:r>
    </w:p>
    <w:p w14:paraId="550E5C10">
      <w:pPr>
        <w:spacing w:line="580" w:lineRule="exact"/>
        <w:ind w:firstLine="640"/>
        <w:jc w:val="both"/>
      </w:pPr>
      <w:r>
        <w:rPr>
          <w:rFonts w:ascii="仿宋_GB2312" w:hAnsi="仿宋_GB2312" w:eastAsia="仿宋_GB2312"/>
          <w:b w:val="0"/>
          <w:sz w:val="32"/>
        </w:rPr>
        <w:t>收入支出总体与上年相比，减少71.09万元，下降10.41%，主要原因是：2024年无补发往年奖励性绩效工资，导致经费下降。</w:t>
      </w:r>
    </w:p>
    <w:p w14:paraId="63379BCC">
      <w:pPr>
        <w:spacing w:line="640" w:lineRule="exact"/>
        <w:ind w:firstLine="640"/>
        <w:jc w:val="both"/>
        <w:outlineLvl w:val="2"/>
      </w:pPr>
      <w:r>
        <w:rPr>
          <w:rFonts w:ascii="黑体" w:hAnsi="黑体" w:eastAsia="黑体"/>
          <w:sz w:val="32"/>
        </w:rPr>
        <w:t>二、收入决算情况说明</w:t>
      </w:r>
    </w:p>
    <w:p w14:paraId="010982F4">
      <w:pPr>
        <w:spacing w:line="580" w:lineRule="exact"/>
        <w:ind w:firstLine="640"/>
        <w:jc w:val="both"/>
      </w:pPr>
      <w:r>
        <w:rPr>
          <w:rFonts w:ascii="仿宋_GB2312" w:hAnsi="仿宋_GB2312" w:eastAsia="仿宋_GB2312"/>
          <w:b/>
          <w:sz w:val="32"/>
        </w:rPr>
        <w:t>本年收入612.12万元，</w:t>
      </w:r>
      <w:r>
        <w:rPr>
          <w:rFonts w:ascii="仿宋_GB2312" w:hAnsi="仿宋_GB2312" w:eastAsia="仿宋_GB2312"/>
          <w:b w:val="0"/>
          <w:sz w:val="32"/>
        </w:rPr>
        <w:t>其中：财政拨款收入612.12万元，占100.00%；上级补助收入0.00万元，占0.00%；事业收入0.00万元，占0.00%；经营收入0.00万元，占0.00%；附属单位上缴收入0.00万元，占0.00%；其他收入0.00万元，占0.00%。</w:t>
      </w:r>
    </w:p>
    <w:p w14:paraId="162FAFA1">
      <w:pPr>
        <w:spacing w:line="640" w:lineRule="exact"/>
        <w:ind w:firstLine="640"/>
        <w:jc w:val="both"/>
        <w:outlineLvl w:val="2"/>
      </w:pPr>
      <w:r>
        <w:rPr>
          <w:rFonts w:ascii="黑体" w:hAnsi="黑体" w:eastAsia="黑体"/>
          <w:sz w:val="32"/>
        </w:rPr>
        <w:t>三、支出决算情况说明</w:t>
      </w:r>
    </w:p>
    <w:p w14:paraId="6086FDCD">
      <w:pPr>
        <w:spacing w:line="580" w:lineRule="exact"/>
        <w:ind w:firstLine="640"/>
        <w:jc w:val="both"/>
      </w:pPr>
      <w:r>
        <w:rPr>
          <w:rFonts w:ascii="仿宋_GB2312" w:hAnsi="仿宋_GB2312" w:eastAsia="仿宋_GB2312"/>
          <w:b/>
          <w:sz w:val="32"/>
        </w:rPr>
        <w:t>本年支出612.12万元，</w:t>
      </w:r>
      <w:r>
        <w:rPr>
          <w:rFonts w:ascii="仿宋_GB2312" w:hAnsi="仿宋_GB2312" w:eastAsia="仿宋_GB2312"/>
          <w:b w:val="0"/>
          <w:sz w:val="32"/>
        </w:rPr>
        <w:t>其中：基本支出612.12万元，占100.00%；项目支出0.00万元，占0.00%；上缴上级支出0.00万元，占0.00%；经营支出0.00万元，占0.00%；对附属单位补助支出0.00万元，占0.00%。</w:t>
      </w:r>
    </w:p>
    <w:p w14:paraId="3854B88F">
      <w:pPr>
        <w:spacing w:line="640" w:lineRule="exact"/>
        <w:ind w:firstLine="640"/>
        <w:jc w:val="both"/>
        <w:outlineLvl w:val="2"/>
      </w:pPr>
      <w:r>
        <w:rPr>
          <w:rFonts w:ascii="黑体" w:hAnsi="黑体" w:eastAsia="黑体"/>
          <w:sz w:val="32"/>
        </w:rPr>
        <w:t>四、财政拨款收入支出决算总体情况说明</w:t>
      </w:r>
    </w:p>
    <w:p w14:paraId="1CC9C003">
      <w:pPr>
        <w:spacing w:line="580" w:lineRule="exact"/>
        <w:ind w:firstLine="640"/>
        <w:jc w:val="both"/>
      </w:pPr>
      <w:r>
        <w:rPr>
          <w:rFonts w:ascii="仿宋_GB2312" w:hAnsi="仿宋_GB2312" w:eastAsia="仿宋_GB2312"/>
          <w:b/>
          <w:sz w:val="32"/>
        </w:rPr>
        <w:t>2024年度财政拨款收入总计612.12万元，</w:t>
      </w:r>
      <w:r>
        <w:rPr>
          <w:rFonts w:ascii="仿宋_GB2312" w:hAnsi="仿宋_GB2312" w:eastAsia="仿宋_GB2312"/>
          <w:b w:val="0"/>
          <w:sz w:val="32"/>
        </w:rPr>
        <w:t>其中：年初财政拨款结转和结余0.00万元，本年财政拨款收入612.12万元。</w:t>
      </w:r>
      <w:r>
        <w:rPr>
          <w:rFonts w:ascii="仿宋_GB2312" w:hAnsi="仿宋_GB2312" w:eastAsia="仿宋_GB2312"/>
          <w:b/>
          <w:sz w:val="32"/>
        </w:rPr>
        <w:t>财政拨款支出总计612.12万元，</w:t>
      </w:r>
      <w:r>
        <w:rPr>
          <w:rFonts w:ascii="仿宋_GB2312" w:hAnsi="仿宋_GB2312" w:eastAsia="仿宋_GB2312"/>
          <w:b w:val="0"/>
          <w:sz w:val="32"/>
        </w:rPr>
        <w:t>其中：年末财政拨款结转和结余0.00万元，本年财政拨款支出612.12万元。</w:t>
      </w:r>
    </w:p>
    <w:p w14:paraId="0E8C9F0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减少71.09万元，下降10.41%，主要原因是：2024年无补发往年奖励性绩效工资，导致经费下降。</w:t>
      </w:r>
      <w:r>
        <w:rPr>
          <w:rFonts w:ascii="仿宋_GB2312" w:hAnsi="仿宋_GB2312" w:eastAsia="仿宋_GB2312"/>
          <w:b/>
          <w:sz w:val="32"/>
        </w:rPr>
        <w:t>与年初预算相比，</w:t>
      </w:r>
      <w:r>
        <w:rPr>
          <w:rFonts w:ascii="仿宋_GB2312" w:hAnsi="仿宋_GB2312" w:eastAsia="仿宋_GB2312"/>
          <w:b w:val="0"/>
          <w:sz w:val="32"/>
        </w:rPr>
        <w:t>年初预算数573.36万元，决算数612.12万元，预决算差异率6.76%，主要原因是：年中追加人员工资、社保、公积金基数调增部分资金，导致预决算存在差异。</w:t>
      </w:r>
    </w:p>
    <w:p w14:paraId="56420875">
      <w:pPr>
        <w:spacing w:line="640" w:lineRule="exact"/>
        <w:ind w:firstLine="640"/>
        <w:jc w:val="both"/>
        <w:outlineLvl w:val="2"/>
      </w:pPr>
      <w:r>
        <w:rPr>
          <w:rFonts w:ascii="黑体" w:hAnsi="黑体" w:eastAsia="黑体"/>
          <w:sz w:val="32"/>
        </w:rPr>
        <w:t>五、一般公共预算财政拨款支出决算情况说明</w:t>
      </w:r>
    </w:p>
    <w:p w14:paraId="7E874E1D">
      <w:pPr>
        <w:spacing w:line="640" w:lineRule="exact"/>
        <w:ind w:firstLine="640"/>
        <w:jc w:val="both"/>
        <w:outlineLvl w:val="3"/>
      </w:pPr>
      <w:r>
        <w:rPr>
          <w:rFonts w:ascii="楷体_GB2312" w:hAnsi="楷体_GB2312" w:eastAsia="楷体_GB2312"/>
          <w:b/>
          <w:sz w:val="32"/>
        </w:rPr>
        <w:t>（一）一般公共预算财政拨款支出决算总体情况</w:t>
      </w:r>
    </w:p>
    <w:p w14:paraId="12724AA5">
      <w:pPr>
        <w:spacing w:line="580" w:lineRule="exact"/>
        <w:ind w:firstLine="640"/>
        <w:jc w:val="both"/>
      </w:pPr>
      <w:r>
        <w:rPr>
          <w:rFonts w:ascii="仿宋_GB2312" w:hAnsi="仿宋_GB2312" w:eastAsia="仿宋_GB2312"/>
          <w:b/>
          <w:sz w:val="32"/>
        </w:rPr>
        <w:t>2024年度一般公共预算财政拨款支出612.12万元，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减少71.09万元，下降10.41%，主要原因是：2024年无补发往年奖励性绩效工资，导致经费下降。</w:t>
      </w:r>
      <w:r>
        <w:rPr>
          <w:rFonts w:ascii="仿宋_GB2312" w:hAnsi="仿宋_GB2312" w:eastAsia="仿宋_GB2312"/>
          <w:b/>
          <w:sz w:val="32"/>
        </w:rPr>
        <w:t>与年初预算相比,</w:t>
      </w:r>
      <w:r>
        <w:rPr>
          <w:rFonts w:ascii="仿宋_GB2312" w:hAnsi="仿宋_GB2312" w:eastAsia="仿宋_GB2312"/>
          <w:b w:val="0"/>
          <w:sz w:val="32"/>
        </w:rPr>
        <w:t>年初预算数573.36万元，决算数612.12万元，预决算差异率6.76%，主要原因是：年中追加人员工资、社保、公积金基数调增部分资金，导致预决算存在差异。</w:t>
      </w:r>
    </w:p>
    <w:p w14:paraId="345C1569">
      <w:pPr>
        <w:spacing w:line="640" w:lineRule="exact"/>
        <w:ind w:firstLine="640"/>
        <w:jc w:val="both"/>
        <w:outlineLvl w:val="3"/>
      </w:pPr>
      <w:r>
        <w:rPr>
          <w:rFonts w:ascii="楷体_GB2312" w:hAnsi="楷体_GB2312" w:eastAsia="楷体_GB2312"/>
          <w:b/>
          <w:sz w:val="32"/>
        </w:rPr>
        <w:t>（二）一般公共预算财政拨款支出决算结构情况</w:t>
      </w:r>
    </w:p>
    <w:p w14:paraId="5F017152">
      <w:pPr>
        <w:spacing w:line="580" w:lineRule="exact"/>
        <w:ind w:firstLine="640"/>
        <w:jc w:val="both"/>
      </w:pPr>
      <w:r>
        <w:rPr>
          <w:rFonts w:ascii="仿宋_GB2312" w:hAnsi="仿宋_GB2312" w:eastAsia="仿宋_GB2312"/>
          <w:b w:val="0"/>
          <w:sz w:val="32"/>
        </w:rPr>
        <w:t>1.教育支出(类)612.12万元,占100.00%。</w:t>
      </w:r>
    </w:p>
    <w:p w14:paraId="694B5792">
      <w:pPr>
        <w:spacing w:line="640" w:lineRule="exact"/>
        <w:ind w:firstLine="640"/>
        <w:jc w:val="both"/>
        <w:outlineLvl w:val="3"/>
      </w:pPr>
      <w:r>
        <w:rPr>
          <w:rFonts w:ascii="楷体_GB2312" w:hAnsi="楷体_GB2312" w:eastAsia="楷体_GB2312"/>
          <w:b/>
          <w:sz w:val="32"/>
        </w:rPr>
        <w:t>（三）一般公共预算财政拨款支出决算具体情况</w:t>
      </w:r>
    </w:p>
    <w:p w14:paraId="446F7EC1">
      <w:pPr>
        <w:spacing w:line="580" w:lineRule="exact"/>
        <w:ind w:firstLine="640"/>
        <w:jc w:val="both"/>
      </w:pPr>
      <w:r>
        <w:rPr>
          <w:rFonts w:ascii="仿宋_GB2312" w:hAnsi="仿宋_GB2312" w:eastAsia="仿宋_GB2312"/>
          <w:b w:val="0"/>
          <w:sz w:val="32"/>
        </w:rPr>
        <w:t>1.教育支出(类)普通教育(款)小学教育(项):支出决算数为612.12万元，比上年决算减少23.94万元，下降3.76%,主要原因是：2024年无补发往年奖励性绩效工资，导致经费下降。</w:t>
      </w:r>
    </w:p>
    <w:p w14:paraId="3867035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47.15万元，下降100.00%,主要原因是：本年功能科目调整，养老保险缴费上年度单独列支，本年调整至主科目列支，导致经费较上年减少。</w:t>
      </w:r>
    </w:p>
    <w:p w14:paraId="01216376">
      <w:pPr>
        <w:spacing w:line="640" w:lineRule="exact"/>
        <w:ind w:firstLine="640"/>
        <w:jc w:val="both"/>
        <w:outlineLvl w:val="2"/>
      </w:pPr>
      <w:r>
        <w:rPr>
          <w:rFonts w:ascii="黑体" w:hAnsi="黑体" w:eastAsia="黑体"/>
          <w:sz w:val="32"/>
        </w:rPr>
        <w:t>六、一般公共预算财政拨款基本支出决算情况说明</w:t>
      </w:r>
    </w:p>
    <w:p w14:paraId="546F0F99">
      <w:pPr>
        <w:spacing w:line="580" w:lineRule="exact"/>
        <w:ind w:firstLine="640"/>
        <w:jc w:val="both"/>
      </w:pPr>
      <w:r>
        <w:rPr>
          <w:rFonts w:ascii="仿宋_GB2312" w:hAnsi="仿宋_GB2312" w:eastAsia="仿宋_GB2312"/>
          <w:b w:val="0"/>
          <w:sz w:val="32"/>
        </w:rPr>
        <w:t>2024年度一般公共预算财政拨款基本支出612.12万元，其中：</w:t>
      </w:r>
      <w:r>
        <w:rPr>
          <w:rFonts w:ascii="仿宋_GB2312" w:hAnsi="仿宋_GB2312" w:eastAsia="仿宋_GB2312"/>
          <w:b/>
          <w:sz w:val="32"/>
        </w:rPr>
        <w:t>人员经费589.66万元，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包括：基本工资、津贴补贴、奖金、机关事业单位基本养老保险缴费、职业年金缴费、职工基本医疗保险缴费、其他社会保障缴费、住房公积金、其他工资福利支出、退休费、生活补助、助学金、奖励金。</w:t>
      </w:r>
    </w:p>
    <w:p w14:paraId="3547084A">
      <w:pPr>
        <w:spacing w:line="580" w:lineRule="exact"/>
        <w:ind w:firstLine="640"/>
        <w:jc w:val="both"/>
      </w:pPr>
      <w:r>
        <w:rPr>
          <w:rFonts w:ascii="仿宋_GB2312" w:hAnsi="仿宋_GB2312" w:eastAsia="仿宋_GB2312"/>
          <w:b/>
          <w:sz w:val="32"/>
        </w:rPr>
        <w:t>公用经费22.46万元，</w:t>
      </w:r>
      <w:r>
        <w:rPr>
          <w:rFonts w:ascii="仿宋_GB2312" w:hAnsi="仿宋_GB2312" w:eastAsia="仿宋_GB2312"/>
          <w:b w:val="0"/>
          <w:sz w:val="32"/>
        </w:rPr>
        <w:t>包括：办公费、水费、电费、物业管理费、维修（护）费、培训费、其他商品和服务支出。</w:t>
      </w:r>
    </w:p>
    <w:p w14:paraId="6B15BC6B">
      <w:pPr>
        <w:spacing w:line="640" w:lineRule="exact"/>
        <w:ind w:firstLine="640"/>
        <w:jc w:val="both"/>
        <w:outlineLvl w:val="2"/>
      </w:pPr>
      <w:r>
        <w:rPr>
          <w:rFonts w:ascii="黑体" w:hAnsi="黑体" w:eastAsia="黑体"/>
          <w:sz w:val="32"/>
        </w:rPr>
        <w:t>七、政府性基金预算财政拨款收入支出决算情况说明</w:t>
      </w:r>
    </w:p>
    <w:p w14:paraId="58DEA80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5F8E583">
      <w:pPr>
        <w:spacing w:line="640" w:lineRule="exact"/>
        <w:ind w:firstLine="640"/>
        <w:jc w:val="both"/>
        <w:outlineLvl w:val="2"/>
      </w:pPr>
      <w:r>
        <w:rPr>
          <w:rFonts w:ascii="黑体" w:hAnsi="黑体" w:eastAsia="黑体"/>
          <w:sz w:val="32"/>
        </w:rPr>
        <w:t>八、国有资本经营预算财政拨款收入支出决算情况说明</w:t>
      </w:r>
    </w:p>
    <w:p w14:paraId="62FD6B1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FF32D30">
      <w:pPr>
        <w:spacing w:line="640" w:lineRule="exact"/>
        <w:ind w:firstLine="640"/>
        <w:jc w:val="both"/>
        <w:outlineLvl w:val="2"/>
      </w:pPr>
      <w:r>
        <w:rPr>
          <w:rFonts w:ascii="黑体" w:hAnsi="黑体" w:eastAsia="黑体"/>
          <w:sz w:val="32"/>
        </w:rPr>
        <w:t>九、财政拨款“三公”经费支出决算情况说明</w:t>
      </w:r>
    </w:p>
    <w:p w14:paraId="398B934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B715670">
      <w:pPr>
        <w:spacing w:line="580" w:lineRule="exact"/>
        <w:ind w:firstLine="640"/>
        <w:jc w:val="both"/>
      </w:pPr>
      <w:r>
        <w:rPr>
          <w:rFonts w:ascii="仿宋_GB2312" w:hAnsi="仿宋_GB2312" w:eastAsia="仿宋_GB2312"/>
          <w:b/>
          <w:sz w:val="32"/>
        </w:rPr>
        <w:t>具体情况如下：</w:t>
      </w:r>
    </w:p>
    <w:p w14:paraId="0725016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3DDB8F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C8B402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30491D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86EFE78">
      <w:pPr>
        <w:spacing w:line="640" w:lineRule="exact"/>
        <w:ind w:firstLine="640"/>
        <w:jc w:val="both"/>
        <w:outlineLvl w:val="2"/>
      </w:pPr>
      <w:r>
        <w:rPr>
          <w:rFonts w:ascii="黑体" w:hAnsi="黑体" w:eastAsia="黑体"/>
          <w:sz w:val="32"/>
        </w:rPr>
        <w:t>十、其他重要事项的情况说明</w:t>
      </w:r>
    </w:p>
    <w:p w14:paraId="33650F64">
      <w:pPr>
        <w:spacing w:line="640" w:lineRule="exact"/>
        <w:ind w:firstLine="640"/>
        <w:jc w:val="both"/>
        <w:outlineLvl w:val="3"/>
      </w:pPr>
      <w:r>
        <w:rPr>
          <w:rFonts w:ascii="楷体_GB2312" w:hAnsi="楷体_GB2312" w:eastAsia="楷体_GB2312"/>
          <w:b/>
          <w:sz w:val="32"/>
        </w:rPr>
        <w:t>（一）机关运行经费及公用经费支出情况</w:t>
      </w:r>
    </w:p>
    <w:p w14:paraId="65F1357C">
      <w:pPr>
        <w:spacing w:line="580" w:lineRule="exact"/>
        <w:ind w:firstLine="640"/>
        <w:jc w:val="both"/>
      </w:pPr>
      <w:r>
        <w:rPr>
          <w:rFonts w:ascii="仿宋_GB2312" w:hAnsi="仿宋_GB2312" w:eastAsia="仿宋_GB2312"/>
          <w:b w:val="0"/>
          <w:sz w:val="32"/>
        </w:rPr>
        <w:t>2024年度且末县第七小学（事业单位）公用经费支出22.46万元，比上年减少10.08万元，下降30.98%，主要原因是：严格控制公用经费，减少办公费、维修（护）费。</w:t>
      </w:r>
    </w:p>
    <w:p w14:paraId="35101596">
      <w:pPr>
        <w:spacing w:line="640" w:lineRule="exact"/>
        <w:ind w:firstLine="640"/>
        <w:jc w:val="both"/>
        <w:outlineLvl w:val="3"/>
      </w:pPr>
      <w:r>
        <w:rPr>
          <w:rFonts w:ascii="楷体_GB2312" w:hAnsi="楷体_GB2312" w:eastAsia="楷体_GB2312"/>
          <w:b/>
          <w:sz w:val="32"/>
        </w:rPr>
        <w:t>（二）政府采购情况</w:t>
      </w:r>
    </w:p>
    <w:p w14:paraId="644A8FC0">
      <w:pPr>
        <w:spacing w:line="580" w:lineRule="exact"/>
        <w:ind w:firstLine="640"/>
        <w:jc w:val="both"/>
      </w:pPr>
      <w:r>
        <w:rPr>
          <w:rFonts w:ascii="仿宋_GB2312" w:hAnsi="仿宋_GB2312" w:eastAsia="仿宋_GB2312"/>
          <w:b w:val="0"/>
          <w:sz w:val="32"/>
        </w:rPr>
        <w:t>2024年度政府采购支出总额10.08万元，其中：政府采购货物支出5.03万元、政府采购工程支出0.00万元、政府采购服务支出5.06万元。</w:t>
      </w:r>
    </w:p>
    <w:p w14:paraId="73EFC216">
      <w:pPr>
        <w:spacing w:line="580" w:lineRule="exact"/>
        <w:ind w:firstLine="640"/>
        <w:jc w:val="both"/>
      </w:pPr>
      <w:r>
        <w:rPr>
          <w:rFonts w:ascii="仿宋_GB2312" w:hAnsi="仿宋_GB2312" w:eastAsia="仿宋_GB2312"/>
          <w:b w:val="0"/>
          <w:sz w:val="32"/>
        </w:rPr>
        <w:t>授予中小企业合同金额9.86万元，占政府采购支出总额的97.82%，其中：授予小微企业合同金额9.86万元，占政府采购支出总额的97.82%。</w:t>
      </w:r>
    </w:p>
    <w:p w14:paraId="0EC8C239">
      <w:pPr>
        <w:spacing w:line="640" w:lineRule="exact"/>
        <w:ind w:firstLine="640"/>
        <w:jc w:val="both"/>
        <w:outlineLvl w:val="3"/>
      </w:pPr>
      <w:r>
        <w:rPr>
          <w:rFonts w:ascii="楷体_GB2312" w:hAnsi="楷体_GB2312" w:eastAsia="楷体_GB2312"/>
          <w:b/>
          <w:sz w:val="32"/>
        </w:rPr>
        <w:t>（三）国有资产占用情况说明</w:t>
      </w:r>
    </w:p>
    <w:p w14:paraId="587C74E1">
      <w:pPr>
        <w:spacing w:line="580" w:lineRule="exact"/>
        <w:ind w:firstLine="640"/>
        <w:jc w:val="both"/>
      </w:pPr>
      <w:r>
        <w:rPr>
          <w:rFonts w:ascii="仿宋_GB2312" w:hAnsi="仿宋_GB2312" w:eastAsia="仿宋_GB2312"/>
          <w:b w:val="0"/>
          <w:sz w:val="32"/>
        </w:rPr>
        <w:t>截至2024年12月31日，房屋4,376.99平方米，价值700.10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17587D6">
      <w:pPr>
        <w:spacing w:line="640" w:lineRule="exact"/>
        <w:ind w:firstLine="640"/>
        <w:jc w:val="both"/>
        <w:outlineLvl w:val="2"/>
      </w:pPr>
      <w:r>
        <w:rPr>
          <w:rFonts w:ascii="黑体" w:hAnsi="黑体" w:eastAsia="黑体"/>
          <w:sz w:val="32"/>
        </w:rPr>
        <w:t>十一、预算绩效的情况说明</w:t>
      </w:r>
    </w:p>
    <w:p w14:paraId="5113C01A">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w:t>
      </w:r>
      <w:r>
        <w:rPr>
          <w:rFonts w:hint="eastAsia" w:ascii="仿宋_GB2312" w:hAnsi="仿宋_GB2312" w:eastAsia="仿宋_GB2312"/>
          <w:b w:val="0"/>
          <w:sz w:val="32"/>
        </w:rPr>
        <w:t>本单位</w:t>
      </w:r>
      <w:r>
        <w:rPr>
          <w:rFonts w:ascii="仿宋_GB2312" w:hAnsi="仿宋_GB2312" w:eastAsia="仿宋_GB2312"/>
          <w:b w:val="0"/>
          <w:sz w:val="32"/>
        </w:rPr>
        <w:t>无预算项目绩效。发现的问题及原因：2024年</w:t>
      </w:r>
      <w:r>
        <w:rPr>
          <w:rFonts w:hint="eastAsia" w:ascii="仿宋_GB2312" w:hAnsi="仿宋_GB2312" w:eastAsia="仿宋_GB2312"/>
          <w:b w:val="0"/>
          <w:sz w:val="32"/>
        </w:rPr>
        <w:t>本单位</w:t>
      </w:r>
      <w:r>
        <w:rPr>
          <w:rFonts w:ascii="仿宋_GB2312" w:hAnsi="仿宋_GB2312" w:eastAsia="仿宋_GB2312"/>
          <w:b w:val="0"/>
          <w:sz w:val="32"/>
        </w:rPr>
        <w:t>无预算项目绩效。下一步改进措施：2024年</w:t>
      </w:r>
      <w:r>
        <w:rPr>
          <w:rFonts w:hint="eastAsia" w:ascii="仿宋_GB2312" w:hAnsi="仿宋_GB2312" w:eastAsia="仿宋_GB2312"/>
          <w:b w:val="0"/>
          <w:sz w:val="32"/>
        </w:rPr>
        <w:t>本单位</w:t>
      </w:r>
      <w:r>
        <w:rPr>
          <w:rFonts w:ascii="仿宋_GB2312" w:hAnsi="仿宋_GB2312" w:eastAsia="仿宋_GB2312"/>
          <w:b w:val="0"/>
          <w:sz w:val="32"/>
        </w:rPr>
        <w:t>无预算项目绩效</w:t>
      </w:r>
      <w:bookmarkStart w:id="0" w:name="_GoBack"/>
      <w:bookmarkEnd w:id="0"/>
      <w:r>
        <w:rPr>
          <w:rFonts w:ascii="仿宋_GB2312" w:hAnsi="仿宋_GB2312" w:eastAsia="仿宋_GB2312"/>
          <w:b w:val="0"/>
          <w:sz w:val="32"/>
        </w:rPr>
        <w:t>。</w:t>
      </w:r>
    </w:p>
    <w:p w14:paraId="744A36FC">
      <w:r>
        <w:br w:type="page"/>
      </w:r>
    </w:p>
    <w:p w14:paraId="0EC95720">
      <w:pPr>
        <w:spacing w:line="640" w:lineRule="exact"/>
        <w:ind w:firstLine="640"/>
        <w:jc w:val="both"/>
        <w:outlineLvl w:val="2"/>
      </w:pPr>
      <w:r>
        <w:rPr>
          <w:rFonts w:ascii="黑体" w:hAnsi="黑体" w:eastAsia="黑体"/>
          <w:sz w:val="32"/>
        </w:rPr>
        <w:t>十二、其他需说明的事项</w:t>
      </w:r>
    </w:p>
    <w:p w14:paraId="1E0FB7F9">
      <w:pPr>
        <w:spacing w:line="580" w:lineRule="exact"/>
        <w:ind w:firstLine="640"/>
        <w:jc w:val="both"/>
      </w:pPr>
      <w:r>
        <w:rPr>
          <w:rFonts w:ascii="仿宋_GB2312" w:hAnsi="仿宋_GB2312" w:eastAsia="仿宋_GB2312"/>
          <w:b w:val="0"/>
          <w:sz w:val="32"/>
        </w:rPr>
        <w:t>本年度本单位整体绩效自评表由主管部门编报并公开。</w:t>
      </w:r>
    </w:p>
    <w:p w14:paraId="6F146274">
      <w:r>
        <w:br w:type="page"/>
      </w:r>
    </w:p>
    <w:p w14:paraId="451D20AB">
      <w:pPr>
        <w:spacing w:line="240" w:lineRule="auto"/>
        <w:jc w:val="center"/>
        <w:outlineLvl w:val="1"/>
      </w:pPr>
      <w:r>
        <w:rPr>
          <w:rFonts w:ascii="黑体" w:hAnsi="黑体" w:eastAsia="黑体"/>
          <w:sz w:val="32"/>
        </w:rPr>
        <w:t>第三部分 专业名词解释</w:t>
      </w:r>
    </w:p>
    <w:p w14:paraId="28B9F53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AC0081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8A7BD4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11DA3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B2622C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40FED3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34ECD9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ED9946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55D83E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227BE4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CD81C1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A2347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4B0CAD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DAE89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B11115">
      <w:r>
        <w:br w:type="page"/>
      </w:r>
    </w:p>
    <w:p w14:paraId="17781D63">
      <w:pPr>
        <w:spacing w:line="240" w:lineRule="auto"/>
        <w:jc w:val="center"/>
        <w:outlineLvl w:val="1"/>
      </w:pPr>
      <w:r>
        <w:rPr>
          <w:rFonts w:ascii="黑体" w:hAnsi="黑体" w:eastAsia="黑体"/>
          <w:sz w:val="32"/>
        </w:rPr>
        <w:t>第四部分 部门决算报表（见附表）</w:t>
      </w:r>
    </w:p>
    <w:p w14:paraId="3FAA434D">
      <w:pPr>
        <w:spacing w:line="240" w:lineRule="auto"/>
        <w:ind w:firstLine="640"/>
        <w:jc w:val="both"/>
      </w:pPr>
      <w:r>
        <w:rPr>
          <w:rFonts w:ascii="仿宋_GB2312" w:hAnsi="仿宋_GB2312" w:eastAsia="仿宋_GB2312"/>
          <w:b w:val="0"/>
          <w:sz w:val="32"/>
        </w:rPr>
        <w:t>一、《收入支出决算总表》</w:t>
      </w:r>
    </w:p>
    <w:p w14:paraId="259A3B51">
      <w:pPr>
        <w:spacing w:line="240" w:lineRule="auto"/>
        <w:ind w:firstLine="640"/>
        <w:jc w:val="both"/>
      </w:pPr>
      <w:r>
        <w:rPr>
          <w:rFonts w:ascii="仿宋_GB2312" w:hAnsi="仿宋_GB2312" w:eastAsia="仿宋_GB2312"/>
          <w:b w:val="0"/>
          <w:sz w:val="32"/>
        </w:rPr>
        <w:t>二、《收入决算表》</w:t>
      </w:r>
    </w:p>
    <w:p w14:paraId="3BD82246">
      <w:pPr>
        <w:spacing w:line="240" w:lineRule="auto"/>
        <w:ind w:firstLine="640"/>
        <w:jc w:val="both"/>
      </w:pPr>
      <w:r>
        <w:rPr>
          <w:rFonts w:ascii="仿宋_GB2312" w:hAnsi="仿宋_GB2312" w:eastAsia="仿宋_GB2312"/>
          <w:b w:val="0"/>
          <w:sz w:val="32"/>
        </w:rPr>
        <w:t>三、《支出决算表》</w:t>
      </w:r>
    </w:p>
    <w:p w14:paraId="777F4811">
      <w:pPr>
        <w:spacing w:line="240" w:lineRule="auto"/>
        <w:ind w:firstLine="640"/>
        <w:jc w:val="both"/>
      </w:pPr>
      <w:r>
        <w:rPr>
          <w:rFonts w:ascii="仿宋_GB2312" w:hAnsi="仿宋_GB2312" w:eastAsia="仿宋_GB2312"/>
          <w:b w:val="0"/>
          <w:sz w:val="32"/>
        </w:rPr>
        <w:t>四、《财政拨款收入支出决算总表》</w:t>
      </w:r>
    </w:p>
    <w:p w14:paraId="12B1E40A">
      <w:pPr>
        <w:spacing w:line="240" w:lineRule="auto"/>
        <w:ind w:firstLine="640"/>
        <w:jc w:val="both"/>
      </w:pPr>
      <w:r>
        <w:rPr>
          <w:rFonts w:ascii="仿宋_GB2312" w:hAnsi="仿宋_GB2312" w:eastAsia="仿宋_GB2312"/>
          <w:b w:val="0"/>
          <w:sz w:val="32"/>
        </w:rPr>
        <w:t>五、《一般公共预算财政拨款支出决算表》</w:t>
      </w:r>
    </w:p>
    <w:p w14:paraId="6190011B">
      <w:pPr>
        <w:spacing w:line="240" w:lineRule="auto"/>
        <w:ind w:firstLine="640"/>
        <w:jc w:val="both"/>
      </w:pPr>
      <w:r>
        <w:rPr>
          <w:rFonts w:ascii="仿宋_GB2312" w:hAnsi="仿宋_GB2312" w:eastAsia="仿宋_GB2312"/>
          <w:b w:val="0"/>
          <w:sz w:val="32"/>
        </w:rPr>
        <w:t>六、《一般公共预算财政拨款基本支出决算表》</w:t>
      </w:r>
    </w:p>
    <w:p w14:paraId="3046E063">
      <w:pPr>
        <w:spacing w:line="240" w:lineRule="auto"/>
        <w:ind w:firstLine="640"/>
        <w:jc w:val="both"/>
      </w:pPr>
      <w:r>
        <w:rPr>
          <w:rFonts w:ascii="仿宋_GB2312" w:hAnsi="仿宋_GB2312" w:eastAsia="仿宋_GB2312"/>
          <w:b w:val="0"/>
          <w:sz w:val="32"/>
        </w:rPr>
        <w:t>七、《政府性基金预算财政拨款收入支出决算表》</w:t>
      </w:r>
    </w:p>
    <w:p w14:paraId="1462FD84">
      <w:pPr>
        <w:spacing w:line="240" w:lineRule="auto"/>
        <w:ind w:firstLine="640"/>
        <w:jc w:val="both"/>
      </w:pPr>
      <w:r>
        <w:rPr>
          <w:rFonts w:ascii="仿宋_GB2312" w:hAnsi="仿宋_GB2312" w:eastAsia="仿宋_GB2312"/>
          <w:b w:val="0"/>
          <w:sz w:val="32"/>
        </w:rPr>
        <w:t>八、《国有资本经营预算财政拨款收入支出决算表》</w:t>
      </w:r>
    </w:p>
    <w:p w14:paraId="68ABC626">
      <w:pPr>
        <w:spacing w:line="240" w:lineRule="auto"/>
        <w:ind w:firstLine="640"/>
        <w:jc w:val="both"/>
      </w:pPr>
      <w:r>
        <w:rPr>
          <w:rFonts w:ascii="仿宋_GB2312" w:hAnsi="仿宋_GB2312" w:eastAsia="仿宋_GB2312"/>
          <w:b w:val="0"/>
          <w:sz w:val="32"/>
        </w:rPr>
        <w:t>九、《财政拨款“三公”经费支出决算表》</w:t>
      </w:r>
    </w:p>
    <w:p w14:paraId="43D7FDDD">
      <w:pPr>
        <w:spacing w:line="240" w:lineRule="auto"/>
        <w:ind w:firstLine="640"/>
        <w:jc w:val="both"/>
      </w:pPr>
    </w:p>
    <w:p w14:paraId="65407121">
      <w:pPr>
        <w:spacing w:line="240" w:lineRule="auto"/>
        <w:ind w:firstLine="640"/>
        <w:jc w:val="both"/>
      </w:pPr>
    </w:p>
    <w:p w14:paraId="6C514FAE">
      <w:pPr>
        <w:spacing w:line="240" w:lineRule="auto"/>
        <w:ind w:firstLine="640"/>
        <w:jc w:val="both"/>
      </w:pPr>
    </w:p>
    <w:p w14:paraId="40776A95">
      <w:pPr>
        <w:spacing w:line="240" w:lineRule="auto"/>
        <w:ind w:firstLine="640"/>
        <w:jc w:val="both"/>
      </w:pPr>
    </w:p>
    <w:p w14:paraId="06CFCD2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BC247F"/>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4FC73A8"/>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4583</Words>
  <Characters>5126</Characters>
  <Lines>0</Lines>
  <Paragraphs>0</Paragraphs>
  <TotalTime>1</TotalTime>
  <ScaleCrop>false</ScaleCrop>
  <LinksUpToDate>false</LinksUpToDate>
  <CharactersWithSpaces>5136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2025-09-26T10:20:56Z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