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且末县第一幼儿园2024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焦虑。通过集体活动、区域活动、户外活动、自主游戏等促进幼儿德、智、体、美等多方面发展。引导幼儿初步养成良好的生活和学习习惯，如规则意识、集体意识的阶段教育。</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且末县第一幼儿园2024年度，实有人数91人，其中：在职人员41人，减少5人；离休人员0人，增加0人；退休人员50人,增加5人。</w:t>
      </w:r>
    </w:p>
    <w:p>
      <w:pPr>
        <w:spacing w:line="580" w:lineRule="exact"/>
        <w:ind w:firstLine="640"/>
        <w:jc w:val="both"/>
      </w:pPr>
      <w:r>
        <w:rPr>
          <w:rFonts w:ascii="仿宋_GB2312" w:hAnsi="仿宋_GB2312" w:eastAsia="仿宋_GB2312"/>
          <w:sz w:val="32"/>
        </w:rPr>
        <w:t>且末县第一幼儿园无下属预算单位，下设9个科室，分别是：园长办公室、副园长办公室、办公室、党政办、德育办、后勤办、财务室、医务室、教务办。</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2024年度收入总计1,093.25万元，</w:t>
      </w:r>
      <w:r>
        <w:rPr>
          <w:rFonts w:ascii="仿宋_GB2312" w:hAnsi="仿宋_GB2312" w:eastAsia="仿宋_GB2312"/>
          <w:b w:val="0"/>
          <w:sz w:val="32"/>
        </w:rPr>
        <w:t>其中：本年收入合计1,093.25万元，使用非财政拨款结余（含专用结余）0.00万元，年初结转和结余0.00万元。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2024年度支出总计1,093.25万元，</w:t>
      </w:r>
      <w:r>
        <w:rPr>
          <w:rFonts w:ascii="仿宋_GB2312" w:hAnsi="仿宋_GB2312" w:eastAsia="仿宋_GB2312"/>
          <w:b w:val="0"/>
          <w:sz w:val="32"/>
        </w:rPr>
        <w:t>其中：本年支出合计1,093.25万元，结余分配0.00万元，年末结转和结余0.00万元。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减少162.64万元，下降12.95%，主要原因是：一是上年度补发以前年度绩效工资，2024年无补发；二是2024年在职人员减少，相关人员经费减少。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本年收入1,093.25万元，</w:t>
      </w:r>
      <w:r>
        <w:rPr>
          <w:rFonts w:ascii="仿宋_GB2312" w:hAnsi="仿宋_GB2312" w:eastAsia="仿宋_GB2312"/>
          <w:b w:val="0"/>
          <w:sz w:val="32"/>
        </w:rPr>
        <w:t>其中：财政拨款收入1,093.25万元，占100.00%；上级补助收入0.00万元，占0.00%；事业收入0.00万元，占0.00%；经营收入0.00万元，占0.00%；附属单位上缴收入0.00万元，占0.00%；其他收入0.00万元，占0.00%。</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本年支出1,093.25万元，</w:t>
      </w:r>
      <w:r>
        <w:rPr>
          <w:rFonts w:ascii="仿宋_GB2312" w:hAnsi="仿宋_GB2312" w:eastAsia="仿宋_GB2312"/>
          <w:b w:val="0"/>
          <w:sz w:val="32"/>
        </w:rPr>
        <w:t>其中：基本支出1,093.25万元，占100.00%；项目支出0.00万元，占0.00%；上缴上级支出0.00万元，占0.00%；经营支出0.00万元，占0.00%；对附属单位补助支出0.00万元，占0.00%。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2024年度财政拨款收入总计1,093.25万元，</w:t>
      </w:r>
      <w:r>
        <w:rPr>
          <w:rFonts w:ascii="仿宋_GB2312" w:hAnsi="仿宋_GB2312" w:eastAsia="仿宋_GB2312"/>
          <w:b w:val="0"/>
          <w:sz w:val="32"/>
        </w:rPr>
        <w:t>其中：年初财政拨款结转和结余0.00万元，本年财政拨款收入1,093.25万元。</w:t>
      </w:r>
      <w:r>
        <w:rPr>
          <w:rFonts w:ascii="仿宋_GB2312" w:hAnsi="仿宋_GB2312" w:eastAsia="仿宋_GB2312"/>
          <w:b/>
          <w:sz w:val="32"/>
        </w:rPr>
        <w:t>财政拨款支出总计1,093.25万元，</w:t>
      </w:r>
      <w:r>
        <w:rPr>
          <w:rFonts w:ascii="仿宋_GB2312" w:hAnsi="仿宋_GB2312" w:eastAsia="仿宋_GB2312"/>
          <w:b w:val="0"/>
          <w:sz w:val="32"/>
        </w:rPr>
        <w:t>其中：年末财政拨款结转和结余0.00万元，本年财政拨款支出1,093.25万元。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减少162.64万元，下降12.95%，主要原因是：一是上年度补发以前年度绩效工资，2024年无补发；二是2024年在职人员减少，相关人员经费减少。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年初预算数1,018.78万元，决算数1,093.25万元，预决算差异率7.31%，主要原因是：年中追加人员工资、社保、公积金基数调增部分资金，导致预决算存在差异。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2024年度一般公共预算财政拨款支出1,093.25万元，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减少162.64万元，下降12.95%，主要原因是：一是上年度补发以前年度绩效工资，2024年无补发；二是2024年在职人员减少，相关人员经费减少。</w:t>
      </w:r>
      <w:r>
        <w:rPr>
          <w:rFonts w:ascii="仿宋_GB2312" w:hAnsi="仿宋_GB2312" w:eastAsia="仿宋_GB2312"/>
          <w:b/>
          <w:sz w:val="32"/>
        </w:rPr>
        <w:t>与年初预算相比,</w:t>
      </w:r>
      <w:r>
        <w:rPr>
          <w:rFonts w:ascii="仿宋_GB2312" w:hAnsi="仿宋_GB2312" w:eastAsia="仿宋_GB2312"/>
          <w:b w:val="0"/>
          <w:sz w:val="32"/>
        </w:rPr>
        <w:t>年初预算数1,018.78万元，决算数1,093.25万元，预决算差异率7.31%，主要原因是：年中追加人员工资、社保、公积金基数调增部分资金，导致预决算存在差异。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1.教育支出(类)1,093.25万元,占100.00%。</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教育支出(类)普通教育(款)学前教育(项):支出决算数为1,093.25万元，比上年决算减少75.69万元，下降6.48%,主要原因是：一是上年度补发以前年度绩效工资，2024年无补发；二是2024年在职人员减少，相关人员经费减少。</w:t>
      </w:r>
    </w:p>
    <w:p>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86.96万元，下降100.00%,主要原因是：本年功能科目调整，养老保险缴费上年度单独列支，本年调整至主科目列支，导致经费较上年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2024年度一般公共预算财政拨款基本支出1,093.25万元，其中：</w:t>
      </w:r>
      <w:r>
        <w:rPr>
          <w:rFonts w:ascii="仿宋_GB2312" w:hAnsi="仿宋_GB2312" w:eastAsia="仿宋_GB2312"/>
          <w:b/>
          <w:sz w:val="32"/>
        </w:rPr>
        <w:t>人员经费944.72万元，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包括：基本工资、津贴补贴、奖金、机关事业单位基本养老保险缴费、职业年金缴费、职工基本医疗保险缴费、其他社会保障缴费、住房公积金、其他工资福利支出、退休费、助学金、奖励金。</w:t>
      </w:r>
    </w:p>
    <w:p>
      <w:pPr>
        <w:spacing w:line="580" w:lineRule="exact"/>
        <w:ind w:firstLine="640"/>
        <w:jc w:val="both"/>
      </w:pPr>
      <w:r>
        <w:rPr>
          <w:rFonts w:ascii="仿宋_GB2312" w:hAnsi="仿宋_GB2312" w:eastAsia="仿宋_GB2312"/>
          <w:b/>
          <w:sz w:val="32"/>
        </w:rPr>
        <w:t>公用经费148.53万元，</w:t>
      </w:r>
      <w:r>
        <w:rPr>
          <w:rFonts w:ascii="仿宋_GB2312" w:hAnsi="仿宋_GB2312" w:eastAsia="仿宋_GB2312"/>
          <w:b w:val="0"/>
          <w:sz w:val="32"/>
        </w:rPr>
        <w:t>包括：办公费、水费、电费、邮电费、取暖费、物业管理费、差旅费、维修（护）费、培训费、其他商品和服务支出、办公设备购置。</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公务用车购置及运行维护费支出0.00万元，占0.00%，比上年增加0.00万元，增长0.00%，主要原因是：2023年与2024年均未安排公务用车购置及运行维护费支出。</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2024年度且末县第一幼儿园（事业单位）公用经费支出148.53万元，比上年增加53.98万元，增长57.09%，主要原因是：本年办公费、培训费、办公设备购置、物业管理费、差旅费增加，导致公用经费增加。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2024年度政府采购支出总额123.15万元，其中：政府采购货物支出78.25万元、政府采购工程支出29.04万元、政府采购服务支出15.86万元。</w:t>
      </w:r>
    </w:p>
    <w:p>
      <w:pPr>
        <w:spacing w:line="580" w:lineRule="exact"/>
        <w:ind w:firstLine="640"/>
        <w:jc w:val="both"/>
      </w:pPr>
      <w:r>
        <w:rPr>
          <w:rFonts w:ascii="仿宋_GB2312" w:hAnsi="仿宋_GB2312" w:eastAsia="仿宋_GB2312"/>
          <w:b w:val="0"/>
          <w:sz w:val="32"/>
        </w:rPr>
        <w:t>授予中小企业合同金额122.84万元，占政府采购支出总额的99.75%，其中：授予小微企业合同金额122.84万元，占政府采购支出总额的99.75%。</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5,721.20平方米，价值688.14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本单位无预算绩效项目。发现的问题及原因：2024年本单位无预算绩效项目。下一步改进措施：2024年本单位无预算绩效项目。</w:t>
      </w:r>
    </w:p>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本年度本单位整体绩效自评表由主管部门编报并公开。</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