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且末县琼库勒乡幼儿园2024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6C805CEF">
      <w:r>
        <w:br w:type="page"/>
      </w:r>
    </w:p>
    <w:p w14:paraId="7B040F90">
      <w:pPr>
        <w:spacing w:line="640" w:lineRule="exact"/>
        <w:jc w:val="center"/>
        <w:outlineLvl w:val="1"/>
      </w:pPr>
      <w:r>
        <w:rPr>
          <w:rFonts w:ascii="黑体" w:hAnsi="黑体" w:eastAsia="黑体"/>
          <w:sz w:val="32"/>
        </w:rPr>
        <w:t>第一部分 单位概况</w:t>
      </w:r>
    </w:p>
    <w:p w14:paraId="10B44117">
      <w:pPr>
        <w:spacing w:line="640" w:lineRule="exact"/>
        <w:ind w:firstLine="640"/>
        <w:jc w:val="both"/>
        <w:outlineLvl w:val="2"/>
      </w:pPr>
      <w:r>
        <w:rPr>
          <w:rFonts w:ascii="黑体" w:hAnsi="黑体" w:eastAsia="黑体"/>
          <w:sz w:val="32"/>
        </w:rPr>
        <w:t>一、主要职能</w:t>
      </w:r>
    </w:p>
    <w:p w14:paraId="6F7DC82C">
      <w:pPr>
        <w:spacing w:line="580" w:lineRule="exact"/>
        <w:ind w:firstLine="640"/>
        <w:jc w:val="both"/>
      </w:pPr>
      <w:r>
        <w:rPr>
          <w:rFonts w:ascii="仿宋_GB2312" w:hAnsi="仿宋_GB2312" w:eastAsia="仿宋_GB2312"/>
          <w:sz w:val="32"/>
        </w:rPr>
        <w:t>幼儿园是幼儿，步入集体生活的第一步，引导幼儿提升社会情感、认知能力发展的关键阶段。幼儿园是帮助幼儿园建立对幼儿园的归属感和信任感，减轻分离焦虑。通过集体活动、区域活动、户外活动、自主游戏等促进幼儿德、智、体、美等多方面发展。引导幼儿初步养成良好的生活和学习习惯，如规则意识、集体意识的阶段教育。</w:t>
      </w:r>
    </w:p>
    <w:p w14:paraId="0AB6BD7D">
      <w:pPr>
        <w:spacing w:line="640" w:lineRule="exact"/>
        <w:ind w:firstLine="640"/>
        <w:jc w:val="both"/>
        <w:outlineLvl w:val="2"/>
      </w:pPr>
      <w:r>
        <w:rPr>
          <w:rFonts w:ascii="黑体" w:hAnsi="黑体" w:eastAsia="黑体"/>
          <w:sz w:val="32"/>
        </w:rPr>
        <w:t>二、机构设置及人员情况</w:t>
      </w:r>
    </w:p>
    <w:p w14:paraId="438A6A27">
      <w:pPr>
        <w:spacing w:line="580" w:lineRule="exact"/>
        <w:ind w:firstLine="640"/>
        <w:jc w:val="both"/>
      </w:pPr>
      <w:r>
        <w:rPr>
          <w:rFonts w:ascii="仿宋_GB2312" w:hAnsi="仿宋_GB2312" w:eastAsia="仿宋_GB2312"/>
          <w:sz w:val="32"/>
        </w:rPr>
        <w:t>且末县琼库勒乡幼儿园2024年度，实有人数20人，其中：在职人员19人，增加0人；离休人员0人，增加0人；退休人员1人,增加0人。</w:t>
      </w:r>
    </w:p>
    <w:p w14:paraId="02A25315">
      <w:pPr>
        <w:spacing w:line="580" w:lineRule="exact"/>
        <w:ind w:firstLine="640"/>
        <w:jc w:val="both"/>
      </w:pPr>
      <w:r>
        <w:rPr>
          <w:rFonts w:ascii="仿宋_GB2312" w:hAnsi="仿宋_GB2312" w:eastAsia="仿宋_GB2312"/>
          <w:sz w:val="32"/>
        </w:rPr>
        <w:t>且末县琼库勒乡幼儿园无下属预算单位，下设5个科室，分别是：办公室、学生发展中心、教师发展中心、总务处、安全</w:t>
      </w:r>
      <w:r>
        <w:rPr>
          <w:rFonts w:hint="eastAsia" w:ascii="仿宋_GB2312" w:hAnsi="仿宋_GB2312" w:eastAsia="仿宋_GB2312"/>
          <w:sz w:val="32"/>
          <w:lang w:eastAsia="zh-CN"/>
        </w:rPr>
        <w:t>WW</w:t>
      </w:r>
      <w:r>
        <w:rPr>
          <w:rFonts w:ascii="仿宋_GB2312" w:hAnsi="仿宋_GB2312" w:eastAsia="仿宋_GB2312"/>
          <w:sz w:val="32"/>
        </w:rPr>
        <w:t>办。</w:t>
      </w:r>
    </w:p>
    <w:p w14:paraId="6ABC4D31">
      <w:r>
        <w:br w:type="page"/>
      </w:r>
    </w:p>
    <w:p w14:paraId="31F81AF8">
      <w:pPr>
        <w:spacing w:line="240" w:lineRule="auto"/>
        <w:jc w:val="center"/>
        <w:outlineLvl w:val="1"/>
      </w:pPr>
      <w:r>
        <w:rPr>
          <w:rFonts w:ascii="黑体" w:hAnsi="黑体" w:eastAsia="黑体"/>
          <w:sz w:val="32"/>
        </w:rPr>
        <w:t>第二部分 部门决算情况说明</w:t>
      </w:r>
    </w:p>
    <w:p w14:paraId="3A0F27F9">
      <w:pPr>
        <w:spacing w:line="640" w:lineRule="exact"/>
        <w:ind w:firstLine="640"/>
        <w:jc w:val="both"/>
        <w:outlineLvl w:val="2"/>
      </w:pPr>
      <w:r>
        <w:rPr>
          <w:rFonts w:ascii="黑体" w:hAnsi="黑体" w:eastAsia="黑体"/>
          <w:sz w:val="32"/>
        </w:rPr>
        <w:t>一、收入支出决算总体情况说明</w:t>
      </w:r>
    </w:p>
    <w:p w14:paraId="4C510E64">
      <w:pPr>
        <w:spacing w:line="580" w:lineRule="exact"/>
        <w:ind w:firstLine="640"/>
        <w:jc w:val="both"/>
      </w:pPr>
      <w:r>
        <w:rPr>
          <w:rFonts w:ascii="仿宋_GB2312" w:hAnsi="仿宋_GB2312" w:eastAsia="仿宋_GB2312"/>
          <w:b/>
          <w:sz w:val="32"/>
        </w:rPr>
        <w:t>2024年度收入总计485.48万元，</w:t>
      </w:r>
      <w:r>
        <w:rPr>
          <w:rFonts w:ascii="仿宋_GB2312" w:hAnsi="仿宋_GB2312" w:eastAsia="仿宋_GB2312"/>
          <w:b w:val="0"/>
          <w:sz w:val="32"/>
        </w:rPr>
        <w:t>其中：本年收入合计485.48万元，使用非财政拨款结余（含专用结余）0.00万元，年初结转和结余0.00万元。</w:t>
      </w:r>
    </w:p>
    <w:p w14:paraId="52B8B4C7">
      <w:pPr>
        <w:spacing w:line="580" w:lineRule="exact"/>
        <w:ind w:firstLine="640"/>
        <w:jc w:val="both"/>
      </w:pPr>
      <w:r>
        <w:rPr>
          <w:rFonts w:ascii="仿宋_GB2312" w:hAnsi="仿宋_GB2312" w:eastAsia="仿宋_GB2312"/>
          <w:b/>
          <w:sz w:val="32"/>
        </w:rPr>
        <w:t>2024年度支出总计485.48万元，</w:t>
      </w:r>
      <w:r>
        <w:rPr>
          <w:rFonts w:ascii="仿宋_GB2312" w:hAnsi="仿宋_GB2312" w:eastAsia="仿宋_GB2312"/>
          <w:b w:val="0"/>
          <w:sz w:val="32"/>
        </w:rPr>
        <w:t>其中：本年支出合计485.48万元，结余分配0.00万元，年末结转和结余0.00万元。</w:t>
      </w:r>
    </w:p>
    <w:p w14:paraId="4B7C13C6">
      <w:pPr>
        <w:spacing w:line="580" w:lineRule="exact"/>
        <w:ind w:firstLine="640"/>
        <w:jc w:val="both"/>
      </w:pPr>
      <w:r>
        <w:rPr>
          <w:rFonts w:ascii="仿宋_GB2312" w:hAnsi="仿宋_GB2312" w:eastAsia="仿宋_GB2312"/>
          <w:b w:val="0"/>
          <w:sz w:val="32"/>
        </w:rPr>
        <w:t>收入支出总体与上年相比，增加101.67万元，增长26.49%，主要原因是：本年在职人员工资调增，社保、公积金基数调增，人员经费增加</w:t>
      </w:r>
      <w:r>
        <w:rPr>
          <w:rFonts w:hint="eastAsia" w:ascii="仿宋_GB2312" w:hAnsi="仿宋_GB2312" w:eastAsia="仿宋_GB2312"/>
          <w:b w:val="0"/>
          <w:sz w:val="32"/>
          <w:lang w:eastAsia="zh-CN"/>
        </w:rPr>
        <w:t>；</w:t>
      </w:r>
      <w:r>
        <w:rPr>
          <w:rFonts w:ascii="仿宋_GB2312" w:hAnsi="仿宋_GB2312" w:eastAsia="仿宋_GB2312"/>
          <w:b w:val="0"/>
          <w:sz w:val="32"/>
        </w:rPr>
        <w:t>办公设备购置、维修（护）费、取暖费、邮电费、物业管理费增加，导致公用经费增加。</w:t>
      </w:r>
    </w:p>
    <w:p w14:paraId="4CD4B59F">
      <w:pPr>
        <w:spacing w:line="640" w:lineRule="exact"/>
        <w:ind w:firstLine="640"/>
        <w:jc w:val="both"/>
        <w:outlineLvl w:val="2"/>
      </w:pPr>
      <w:r>
        <w:rPr>
          <w:rFonts w:ascii="黑体" w:hAnsi="黑体" w:eastAsia="黑体"/>
          <w:sz w:val="32"/>
        </w:rPr>
        <w:t>二、收入决算情况说明</w:t>
      </w:r>
    </w:p>
    <w:p w14:paraId="0CD776B7">
      <w:pPr>
        <w:spacing w:line="580" w:lineRule="exact"/>
        <w:ind w:firstLine="640"/>
        <w:jc w:val="both"/>
      </w:pPr>
      <w:r>
        <w:rPr>
          <w:rFonts w:ascii="仿宋_GB2312" w:hAnsi="仿宋_GB2312" w:eastAsia="仿宋_GB2312"/>
          <w:b/>
          <w:sz w:val="32"/>
        </w:rPr>
        <w:t>本年收入485.48万元，</w:t>
      </w:r>
      <w:r>
        <w:rPr>
          <w:rFonts w:ascii="仿宋_GB2312" w:hAnsi="仿宋_GB2312" w:eastAsia="仿宋_GB2312"/>
          <w:b w:val="0"/>
          <w:sz w:val="32"/>
        </w:rPr>
        <w:t>其中：财政拨款收入485.48万元，占100.00%；上级补助收入0.00万元，占0.00%；事业收入0.00万元，占0.00%；经营收入0.00万元，占0.00%；附属单位上缴收入0.00万元，占0.00%；其他收入0.00万元，占0.00%。</w:t>
      </w:r>
    </w:p>
    <w:p w14:paraId="66AAA898">
      <w:pPr>
        <w:spacing w:line="640" w:lineRule="exact"/>
        <w:ind w:firstLine="640"/>
        <w:jc w:val="both"/>
        <w:outlineLvl w:val="2"/>
      </w:pPr>
      <w:r>
        <w:rPr>
          <w:rFonts w:ascii="黑体" w:hAnsi="黑体" w:eastAsia="黑体"/>
          <w:sz w:val="32"/>
        </w:rPr>
        <w:t>三、支出决算情况说明</w:t>
      </w:r>
    </w:p>
    <w:p w14:paraId="72ECEC47">
      <w:pPr>
        <w:spacing w:line="580" w:lineRule="exact"/>
        <w:ind w:firstLine="640"/>
        <w:jc w:val="both"/>
      </w:pPr>
      <w:r>
        <w:rPr>
          <w:rFonts w:ascii="仿宋_GB2312" w:hAnsi="仿宋_GB2312" w:eastAsia="仿宋_GB2312"/>
          <w:b/>
          <w:sz w:val="32"/>
        </w:rPr>
        <w:t>本年支出485.48万元，</w:t>
      </w:r>
      <w:r>
        <w:rPr>
          <w:rFonts w:ascii="仿宋_GB2312" w:hAnsi="仿宋_GB2312" w:eastAsia="仿宋_GB2312"/>
          <w:b w:val="0"/>
          <w:sz w:val="32"/>
        </w:rPr>
        <w:t>其中：基本支出485.48万元，占100.00%；项目支出0.00万元，占0.00%；上缴上级支出0.00万元，占0.00%；经营支出0.00万元，占0.00%；对附属单位补助支出0.00万元，占0.00%。</w:t>
      </w:r>
    </w:p>
    <w:p w14:paraId="18D75162">
      <w:pPr>
        <w:spacing w:line="640" w:lineRule="exact"/>
        <w:ind w:firstLine="640"/>
        <w:jc w:val="both"/>
        <w:outlineLvl w:val="2"/>
      </w:pPr>
      <w:r>
        <w:rPr>
          <w:rFonts w:ascii="黑体" w:hAnsi="黑体" w:eastAsia="黑体"/>
          <w:sz w:val="32"/>
        </w:rPr>
        <w:t>四、财政拨款收入支出决算总体情况说明</w:t>
      </w:r>
    </w:p>
    <w:p w14:paraId="40AF4E93">
      <w:pPr>
        <w:spacing w:line="580" w:lineRule="exact"/>
        <w:ind w:firstLine="640"/>
        <w:jc w:val="both"/>
      </w:pPr>
      <w:r>
        <w:rPr>
          <w:rFonts w:ascii="仿宋_GB2312" w:hAnsi="仿宋_GB2312" w:eastAsia="仿宋_GB2312"/>
          <w:b/>
          <w:sz w:val="32"/>
        </w:rPr>
        <w:t>2024年度财政拨款收入总计485.48万元，</w:t>
      </w:r>
      <w:r>
        <w:rPr>
          <w:rFonts w:ascii="仿宋_GB2312" w:hAnsi="仿宋_GB2312" w:eastAsia="仿宋_GB2312"/>
          <w:b w:val="0"/>
          <w:sz w:val="32"/>
        </w:rPr>
        <w:t>其中：年初财政拨款结转和结余0.00万元，本年财政拨款收入485.48万元。</w:t>
      </w:r>
      <w:r>
        <w:rPr>
          <w:rFonts w:ascii="仿宋_GB2312" w:hAnsi="仿宋_GB2312" w:eastAsia="仿宋_GB2312"/>
          <w:b/>
          <w:sz w:val="32"/>
        </w:rPr>
        <w:t>财政拨款支出总计485.48万元，</w:t>
      </w:r>
      <w:r>
        <w:rPr>
          <w:rFonts w:ascii="仿宋_GB2312" w:hAnsi="仿宋_GB2312" w:eastAsia="仿宋_GB2312"/>
          <w:b w:val="0"/>
          <w:sz w:val="32"/>
        </w:rPr>
        <w:t>其中：年末财政拨款结转和结余0.00万元，本年财政拨款支出485.48万元。</w:t>
      </w:r>
    </w:p>
    <w:p w14:paraId="6DB430B5">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增加101.67万元，增长26.49%，主要原因是：本年在职人员工资调增，社保、公积金基数调增，人员经费增加</w:t>
      </w:r>
      <w:r>
        <w:rPr>
          <w:rFonts w:hint="eastAsia" w:ascii="仿宋_GB2312" w:hAnsi="仿宋_GB2312" w:eastAsia="仿宋_GB2312"/>
          <w:b w:val="0"/>
          <w:sz w:val="32"/>
          <w:lang w:eastAsia="zh-CN"/>
        </w:rPr>
        <w:t>；</w:t>
      </w:r>
      <w:r>
        <w:rPr>
          <w:rFonts w:ascii="仿宋_GB2312" w:hAnsi="仿宋_GB2312" w:eastAsia="仿宋_GB2312"/>
          <w:b w:val="0"/>
          <w:sz w:val="32"/>
        </w:rPr>
        <w:t>办公设备购置、维修（护）费、取暖费、邮电费、物业管理费增加，导致公用经费增加</w:t>
      </w:r>
      <w:r>
        <w:rPr>
          <w:rFonts w:hint="eastAsia" w:ascii="仿宋_GB2312" w:hAnsi="仿宋_GB2312" w:eastAsia="仿宋_GB2312"/>
          <w:b w:val="0"/>
          <w:sz w:val="32"/>
          <w:lang w:eastAsia="zh-CN"/>
        </w:rPr>
        <w:t>。</w:t>
      </w:r>
      <w:r>
        <w:rPr>
          <w:rFonts w:ascii="仿宋_GB2312" w:hAnsi="仿宋_GB2312" w:eastAsia="仿宋_GB2312"/>
          <w:b/>
          <w:sz w:val="32"/>
        </w:rPr>
        <w:t>与年初预算相比，</w:t>
      </w:r>
      <w:r>
        <w:rPr>
          <w:rFonts w:ascii="仿宋_GB2312" w:hAnsi="仿宋_GB2312" w:eastAsia="仿宋_GB2312"/>
          <w:b w:val="0"/>
          <w:sz w:val="32"/>
        </w:rPr>
        <w:t>年初预算数353.35万元，决算数485.48万元，预决算差异率37.39%，主要原因是：年中追加人员工资、社保、公积金基数调增部分资金，</w:t>
      </w:r>
      <w:r>
        <w:rPr>
          <w:rFonts w:hint="eastAsia" w:ascii="仿宋_GB2312" w:hAnsi="仿宋_GB2312" w:eastAsia="仿宋_GB2312"/>
          <w:b w:val="0"/>
          <w:sz w:val="32"/>
          <w:lang w:val="en-US" w:eastAsia="zh-CN"/>
        </w:rPr>
        <w:t>追加办公经费，</w:t>
      </w:r>
      <w:r>
        <w:rPr>
          <w:rFonts w:ascii="仿宋_GB2312" w:hAnsi="仿宋_GB2312" w:eastAsia="仿宋_GB2312"/>
          <w:b w:val="0"/>
          <w:sz w:val="32"/>
        </w:rPr>
        <w:t>导致预决算存在差异。</w:t>
      </w:r>
    </w:p>
    <w:p w14:paraId="02F1C4A7">
      <w:pPr>
        <w:spacing w:line="640" w:lineRule="exact"/>
        <w:ind w:firstLine="640"/>
        <w:jc w:val="both"/>
        <w:outlineLvl w:val="2"/>
      </w:pPr>
      <w:r>
        <w:rPr>
          <w:rFonts w:ascii="黑体" w:hAnsi="黑体" w:eastAsia="黑体"/>
          <w:sz w:val="32"/>
        </w:rPr>
        <w:t>五、一般公共预算财政拨款支出决算情况说明</w:t>
      </w:r>
    </w:p>
    <w:p w14:paraId="50F2B94E">
      <w:pPr>
        <w:spacing w:line="640" w:lineRule="exact"/>
        <w:ind w:firstLine="640"/>
        <w:jc w:val="both"/>
        <w:outlineLvl w:val="3"/>
      </w:pPr>
      <w:r>
        <w:rPr>
          <w:rFonts w:ascii="楷体_GB2312" w:hAnsi="楷体_GB2312" w:eastAsia="楷体_GB2312"/>
          <w:b/>
          <w:sz w:val="32"/>
        </w:rPr>
        <w:t>（一）一般公共预算财政拨款支出决算总体情况</w:t>
      </w:r>
    </w:p>
    <w:p w14:paraId="55E24C1B">
      <w:pPr>
        <w:spacing w:line="580" w:lineRule="exact"/>
        <w:ind w:firstLine="640"/>
        <w:jc w:val="both"/>
      </w:pPr>
      <w:r>
        <w:rPr>
          <w:rFonts w:ascii="仿宋_GB2312" w:hAnsi="仿宋_GB2312" w:eastAsia="仿宋_GB2312"/>
          <w:b/>
          <w:sz w:val="32"/>
        </w:rPr>
        <w:t>2024年度一般公共预算财政拨款支出485.48万元，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增加101.67万元，增长26.49%，主要原因是：本年在职人员工资调增，社保、公积金基数调增，人员经费增加</w:t>
      </w:r>
      <w:r>
        <w:rPr>
          <w:rFonts w:hint="eastAsia" w:ascii="仿宋_GB2312" w:hAnsi="仿宋_GB2312" w:eastAsia="仿宋_GB2312"/>
          <w:b w:val="0"/>
          <w:sz w:val="32"/>
          <w:lang w:eastAsia="zh-CN"/>
        </w:rPr>
        <w:t>；</w:t>
      </w:r>
      <w:r>
        <w:rPr>
          <w:rFonts w:ascii="仿宋_GB2312" w:hAnsi="仿宋_GB2312" w:eastAsia="仿宋_GB2312"/>
          <w:b w:val="0"/>
          <w:sz w:val="32"/>
        </w:rPr>
        <w:t>办公设备购置、维修（护）费、取暖费、邮电费、物业管理费增加，导致公用经费增加。</w:t>
      </w:r>
      <w:r>
        <w:rPr>
          <w:rFonts w:ascii="仿宋_GB2312" w:hAnsi="仿宋_GB2312" w:eastAsia="仿宋_GB2312"/>
          <w:b/>
          <w:sz w:val="32"/>
        </w:rPr>
        <w:t>与年初预算相比,</w:t>
      </w:r>
      <w:r>
        <w:rPr>
          <w:rFonts w:ascii="仿宋_GB2312" w:hAnsi="仿宋_GB2312" w:eastAsia="仿宋_GB2312"/>
          <w:b w:val="0"/>
          <w:sz w:val="32"/>
        </w:rPr>
        <w:t>年初预算数353.35万元，决算数485.48万元，预决算差异率37.39%，主要原因是：年中追加人员工资、社保、公积金基数调增部分资金，</w:t>
      </w:r>
      <w:r>
        <w:rPr>
          <w:rFonts w:hint="eastAsia" w:ascii="仿宋_GB2312" w:hAnsi="仿宋_GB2312" w:eastAsia="仿宋_GB2312"/>
          <w:b w:val="0"/>
          <w:sz w:val="32"/>
          <w:lang w:val="en-US" w:eastAsia="zh-CN"/>
        </w:rPr>
        <w:t>追加办公经费，</w:t>
      </w:r>
      <w:r>
        <w:rPr>
          <w:rFonts w:ascii="仿宋_GB2312" w:hAnsi="仿宋_GB2312" w:eastAsia="仿宋_GB2312"/>
          <w:b w:val="0"/>
          <w:sz w:val="32"/>
        </w:rPr>
        <w:t>导致预决算存在差异。</w:t>
      </w:r>
    </w:p>
    <w:p w14:paraId="043497EF">
      <w:pPr>
        <w:spacing w:line="640" w:lineRule="exact"/>
        <w:ind w:firstLine="640"/>
        <w:jc w:val="both"/>
        <w:outlineLvl w:val="3"/>
      </w:pPr>
      <w:r>
        <w:rPr>
          <w:rFonts w:ascii="楷体_GB2312" w:hAnsi="楷体_GB2312" w:eastAsia="楷体_GB2312"/>
          <w:b/>
          <w:sz w:val="32"/>
        </w:rPr>
        <w:t>（二）一般公共预算财政拨款支出决算结构情况</w:t>
      </w:r>
    </w:p>
    <w:p w14:paraId="5CA8240C">
      <w:pPr>
        <w:spacing w:line="580" w:lineRule="exact"/>
        <w:ind w:firstLine="640"/>
        <w:jc w:val="both"/>
      </w:pPr>
      <w:r>
        <w:rPr>
          <w:rFonts w:ascii="仿宋_GB2312" w:hAnsi="仿宋_GB2312" w:eastAsia="仿宋_GB2312"/>
          <w:b w:val="0"/>
          <w:sz w:val="32"/>
        </w:rPr>
        <w:t>1.教育支出(类)485.48万元,占100.00%。</w:t>
      </w:r>
    </w:p>
    <w:p w14:paraId="7AA5CFC5">
      <w:pPr>
        <w:spacing w:line="640" w:lineRule="exact"/>
        <w:ind w:firstLine="640"/>
        <w:jc w:val="both"/>
        <w:outlineLvl w:val="3"/>
      </w:pPr>
      <w:r>
        <w:rPr>
          <w:rFonts w:ascii="楷体_GB2312" w:hAnsi="楷体_GB2312" w:eastAsia="楷体_GB2312"/>
          <w:b/>
          <w:sz w:val="32"/>
        </w:rPr>
        <w:t>（三）一般公共预算财政拨款支出决算具体情况</w:t>
      </w:r>
    </w:p>
    <w:p w14:paraId="0E7DF28A">
      <w:pPr>
        <w:spacing w:line="580" w:lineRule="exact"/>
        <w:ind w:firstLine="640"/>
        <w:jc w:val="both"/>
      </w:pPr>
      <w:r>
        <w:rPr>
          <w:rFonts w:ascii="仿宋_GB2312" w:hAnsi="仿宋_GB2312" w:eastAsia="仿宋_GB2312"/>
          <w:b w:val="0"/>
          <w:sz w:val="32"/>
        </w:rPr>
        <w:t>1.教育支出(类)普通教育(款)学前教育(项):支出决算数为485.48万元，比上年决算增加131.39万元，增长37.11%,主要原因是：本年在职人员工资调增，社保、公积金基数调增，人员经费增加</w:t>
      </w:r>
      <w:r>
        <w:rPr>
          <w:rFonts w:hint="eastAsia" w:ascii="仿宋_GB2312" w:hAnsi="仿宋_GB2312" w:eastAsia="仿宋_GB2312"/>
          <w:b w:val="0"/>
          <w:sz w:val="32"/>
          <w:lang w:eastAsia="zh-CN"/>
        </w:rPr>
        <w:t>；</w:t>
      </w:r>
      <w:r>
        <w:rPr>
          <w:rFonts w:ascii="仿宋_GB2312" w:hAnsi="仿宋_GB2312" w:eastAsia="仿宋_GB2312"/>
          <w:b w:val="0"/>
          <w:sz w:val="32"/>
        </w:rPr>
        <w:t>办公设备购置、维修（护）费、取暖费、邮电费、物业管理费增加，导致公用经费增加</w:t>
      </w:r>
      <w:r>
        <w:rPr>
          <w:rFonts w:hint="eastAsia" w:ascii="仿宋_GB2312" w:hAnsi="仿宋_GB2312" w:eastAsia="仿宋_GB2312"/>
          <w:b w:val="0"/>
          <w:sz w:val="32"/>
          <w:lang w:eastAsia="zh-CN"/>
        </w:rPr>
        <w:t>；</w:t>
      </w:r>
      <w:r>
        <w:rPr>
          <w:rFonts w:ascii="仿宋_GB2312" w:hAnsi="仿宋_GB2312" w:eastAsia="仿宋_GB2312"/>
          <w:b w:val="0"/>
          <w:sz w:val="32"/>
        </w:rPr>
        <w:t>本年功能科目调整，养老保险缴费上年度单独列支，本年调整至</w:t>
      </w:r>
      <w:r>
        <w:rPr>
          <w:rFonts w:hint="eastAsia" w:ascii="仿宋_GB2312" w:hAnsi="仿宋_GB2312" w:eastAsia="仿宋_GB2312"/>
          <w:b w:val="0"/>
          <w:sz w:val="32"/>
          <w:lang w:val="en-US" w:eastAsia="zh-CN"/>
        </w:rPr>
        <w:t>此</w:t>
      </w:r>
      <w:r>
        <w:rPr>
          <w:rFonts w:ascii="仿宋_GB2312" w:hAnsi="仿宋_GB2312" w:eastAsia="仿宋_GB2312"/>
          <w:b w:val="0"/>
          <w:sz w:val="32"/>
        </w:rPr>
        <w:t>科目列支，导致经费较上年</w:t>
      </w:r>
      <w:r>
        <w:rPr>
          <w:rFonts w:hint="eastAsia" w:ascii="仿宋_GB2312" w:hAnsi="仿宋_GB2312" w:eastAsia="仿宋_GB2312"/>
          <w:b w:val="0"/>
          <w:sz w:val="32"/>
          <w:lang w:val="en-US" w:eastAsia="zh-CN"/>
        </w:rPr>
        <w:t>增加</w:t>
      </w:r>
      <w:r>
        <w:rPr>
          <w:rFonts w:ascii="仿宋_GB2312" w:hAnsi="仿宋_GB2312" w:eastAsia="仿宋_GB2312"/>
          <w:b w:val="0"/>
          <w:sz w:val="32"/>
        </w:rPr>
        <w:t>。</w:t>
      </w:r>
    </w:p>
    <w:p w14:paraId="19C1CFDB">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0.00万元，比上年决算减少29.72万元，下降100.00%,主要原因是：本年功能科目调整，养老保险缴费上年度单独列支，本年调整至主科目列支，导致经费较上年减少。</w:t>
      </w:r>
    </w:p>
    <w:p w14:paraId="7D8B8C25">
      <w:pPr>
        <w:spacing w:line="640" w:lineRule="exact"/>
        <w:ind w:firstLine="640"/>
        <w:jc w:val="both"/>
        <w:outlineLvl w:val="2"/>
      </w:pPr>
      <w:r>
        <w:rPr>
          <w:rFonts w:ascii="黑体" w:hAnsi="黑体" w:eastAsia="黑体"/>
          <w:sz w:val="32"/>
        </w:rPr>
        <w:t>六、一般公共预算财政拨款基本支出决算情况说明</w:t>
      </w:r>
    </w:p>
    <w:p w14:paraId="18CC29D6">
      <w:pPr>
        <w:spacing w:line="580" w:lineRule="exact"/>
        <w:ind w:firstLine="640"/>
        <w:jc w:val="both"/>
      </w:pPr>
      <w:r>
        <w:rPr>
          <w:rFonts w:ascii="仿宋_GB2312" w:hAnsi="仿宋_GB2312" w:eastAsia="仿宋_GB2312"/>
          <w:b w:val="0"/>
          <w:sz w:val="32"/>
        </w:rPr>
        <w:t>2024年度一般公共预算财政拨款基本支出485.48万元，其中：</w:t>
      </w:r>
      <w:r>
        <w:rPr>
          <w:rFonts w:ascii="仿宋_GB2312" w:hAnsi="仿宋_GB2312" w:eastAsia="仿宋_GB2312"/>
          <w:b/>
          <w:sz w:val="32"/>
        </w:rPr>
        <w:t>人员经费427.08万元，</w:t>
      </w:r>
      <w:r>
        <w:rPr>
          <w:rFonts w:ascii="仿宋_GB2312" w:hAnsi="仿宋_GB2312" w:eastAsia="仿宋_GB2312"/>
          <w:b w:val="0"/>
          <w:sz w:val="32"/>
        </w:rPr>
        <w:t>包括：基本工资、津贴补贴、奖金、机关事业单位基本养老保险缴费、职工基本医疗保险缴费、其他社会保障缴费、住房公积金、其他工资福利支出、退休费、生活补助、助学金、奖励金。</w:t>
      </w:r>
    </w:p>
    <w:p w14:paraId="35B1A82E">
      <w:pPr>
        <w:spacing w:line="580" w:lineRule="exact"/>
        <w:ind w:firstLine="640"/>
        <w:jc w:val="both"/>
      </w:pPr>
      <w:r>
        <w:rPr>
          <w:rFonts w:ascii="仿宋_GB2312" w:hAnsi="仿宋_GB2312" w:eastAsia="仿宋_GB2312"/>
          <w:b/>
          <w:sz w:val="32"/>
        </w:rPr>
        <w:t>公用经费58.40万元，</w:t>
      </w:r>
      <w:r>
        <w:rPr>
          <w:rFonts w:ascii="仿宋_GB2312" w:hAnsi="仿宋_GB2312" w:eastAsia="仿宋_GB2312"/>
          <w:b w:val="0"/>
          <w:sz w:val="32"/>
        </w:rPr>
        <w:t>包括：办公费、水费、电费、邮电费、取暖费、物业管理费、维修（护）费、培训费、其他商品和服务支出、办公设备购置。</w:t>
      </w:r>
    </w:p>
    <w:p w14:paraId="551A50E6">
      <w:pPr>
        <w:spacing w:line="640" w:lineRule="exact"/>
        <w:ind w:firstLine="640"/>
        <w:jc w:val="both"/>
        <w:outlineLvl w:val="2"/>
      </w:pPr>
      <w:r>
        <w:rPr>
          <w:rFonts w:ascii="黑体" w:hAnsi="黑体" w:eastAsia="黑体"/>
          <w:sz w:val="32"/>
        </w:rPr>
        <w:t>七、政府性基金预算财政拨款收入支出决算情况说明</w:t>
      </w:r>
    </w:p>
    <w:p w14:paraId="492CDD82">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34ECD909">
      <w:pPr>
        <w:spacing w:line="640" w:lineRule="exact"/>
        <w:ind w:firstLine="640"/>
        <w:jc w:val="both"/>
        <w:outlineLvl w:val="2"/>
      </w:pPr>
      <w:r>
        <w:rPr>
          <w:rFonts w:ascii="黑体" w:hAnsi="黑体" w:eastAsia="黑体"/>
          <w:sz w:val="32"/>
        </w:rPr>
        <w:t>八、国有资本经营预算财政拨款收入支出决算情况说明</w:t>
      </w:r>
    </w:p>
    <w:p w14:paraId="1B1C8A16">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43E1063C">
      <w:pPr>
        <w:spacing w:line="640" w:lineRule="exact"/>
        <w:ind w:firstLine="640"/>
        <w:jc w:val="both"/>
        <w:outlineLvl w:val="2"/>
      </w:pPr>
      <w:bookmarkStart w:id="0" w:name="_GoBack"/>
      <w:bookmarkEnd w:id="0"/>
      <w:r>
        <w:rPr>
          <w:rFonts w:ascii="黑体" w:hAnsi="黑体" w:eastAsia="黑体"/>
          <w:sz w:val="32"/>
        </w:rPr>
        <w:t>九、财政拨款“三公”经费支出决算情况说明</w:t>
      </w:r>
    </w:p>
    <w:p w14:paraId="7428B5E9">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54F0A7AD">
      <w:pPr>
        <w:spacing w:line="580" w:lineRule="exact"/>
        <w:ind w:firstLine="640"/>
        <w:jc w:val="both"/>
      </w:pPr>
      <w:r>
        <w:rPr>
          <w:rFonts w:ascii="仿宋_GB2312" w:hAnsi="仿宋_GB2312" w:eastAsia="仿宋_GB2312"/>
          <w:b/>
          <w:sz w:val="32"/>
        </w:rPr>
        <w:t>具体情况如下：</w:t>
      </w:r>
    </w:p>
    <w:p w14:paraId="35E35B50">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20284AC3">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4304CF1A">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1A65AB44">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04A8B384">
      <w:pPr>
        <w:spacing w:line="640" w:lineRule="exact"/>
        <w:ind w:firstLine="640"/>
        <w:jc w:val="both"/>
        <w:outlineLvl w:val="2"/>
      </w:pPr>
      <w:r>
        <w:rPr>
          <w:rFonts w:ascii="黑体" w:hAnsi="黑体" w:eastAsia="黑体"/>
          <w:sz w:val="32"/>
        </w:rPr>
        <w:t>十、其他重要事项的情况说明</w:t>
      </w:r>
    </w:p>
    <w:p w14:paraId="5B814781">
      <w:pPr>
        <w:spacing w:line="640" w:lineRule="exact"/>
        <w:ind w:firstLine="640"/>
        <w:jc w:val="both"/>
        <w:outlineLvl w:val="3"/>
      </w:pPr>
      <w:r>
        <w:rPr>
          <w:rFonts w:ascii="楷体_GB2312" w:hAnsi="楷体_GB2312" w:eastAsia="楷体_GB2312"/>
          <w:b/>
          <w:sz w:val="32"/>
        </w:rPr>
        <w:t>（一）机关运行经费及公用经费支出情况</w:t>
      </w:r>
    </w:p>
    <w:p w14:paraId="2227915F">
      <w:pPr>
        <w:spacing w:line="580" w:lineRule="exact"/>
        <w:ind w:firstLine="640"/>
        <w:jc w:val="both"/>
      </w:pPr>
      <w:r>
        <w:rPr>
          <w:rFonts w:ascii="仿宋_GB2312" w:hAnsi="仿宋_GB2312" w:eastAsia="仿宋_GB2312"/>
          <w:b w:val="0"/>
          <w:sz w:val="32"/>
        </w:rPr>
        <w:t>2024年度且末县琼库勒乡幼儿园（事业单位）公用经费支出58.40万元，比上年增加37.63万元，增长181.17%，主要原因是：本年办公设备购置、维修（护）费、取暖费、邮电费、物业管理费增加，导致公用经费增加。</w:t>
      </w:r>
    </w:p>
    <w:p w14:paraId="5F90BEEE">
      <w:pPr>
        <w:spacing w:line="640" w:lineRule="exact"/>
        <w:ind w:firstLine="640"/>
        <w:jc w:val="both"/>
        <w:outlineLvl w:val="3"/>
      </w:pPr>
      <w:r>
        <w:rPr>
          <w:rFonts w:ascii="楷体_GB2312" w:hAnsi="楷体_GB2312" w:eastAsia="楷体_GB2312"/>
          <w:b/>
          <w:sz w:val="32"/>
        </w:rPr>
        <w:t>（二）政府采购情况</w:t>
      </w:r>
    </w:p>
    <w:p w14:paraId="7ABA5E42">
      <w:pPr>
        <w:spacing w:line="580" w:lineRule="exact"/>
        <w:ind w:firstLine="640"/>
        <w:jc w:val="both"/>
      </w:pPr>
      <w:r>
        <w:rPr>
          <w:rFonts w:ascii="仿宋_GB2312" w:hAnsi="仿宋_GB2312" w:eastAsia="仿宋_GB2312"/>
          <w:b w:val="0"/>
          <w:sz w:val="32"/>
        </w:rPr>
        <w:t>2024年度政府采购支出总额51.24万元，其中：政府采购货物支出27.86万元、政府采购工程支出17.91万元、政府采购服务支出5.46万元。</w:t>
      </w:r>
    </w:p>
    <w:p w14:paraId="58BF4D68">
      <w:pPr>
        <w:spacing w:line="580" w:lineRule="exact"/>
        <w:ind w:firstLine="640"/>
        <w:jc w:val="both"/>
      </w:pPr>
      <w:r>
        <w:rPr>
          <w:rFonts w:ascii="仿宋_GB2312" w:hAnsi="仿宋_GB2312" w:eastAsia="仿宋_GB2312"/>
          <w:b w:val="0"/>
          <w:sz w:val="32"/>
        </w:rPr>
        <w:t>授予中小企业合同金额51.19万元，占政府采购支出总额的99.90%，其中：授予小微企业合同金额51.14万元，占政府采购支出总额的99.80%。</w:t>
      </w:r>
    </w:p>
    <w:p w14:paraId="6BD4EA0C">
      <w:pPr>
        <w:spacing w:line="640" w:lineRule="exact"/>
        <w:ind w:firstLine="640"/>
        <w:jc w:val="both"/>
        <w:outlineLvl w:val="3"/>
      </w:pPr>
      <w:r>
        <w:rPr>
          <w:rFonts w:ascii="楷体_GB2312" w:hAnsi="楷体_GB2312" w:eastAsia="楷体_GB2312"/>
          <w:b/>
          <w:sz w:val="32"/>
        </w:rPr>
        <w:t>（三）国有资产占用情况说明</w:t>
      </w:r>
    </w:p>
    <w:p w14:paraId="143389C3">
      <w:pPr>
        <w:spacing w:line="580" w:lineRule="exact"/>
        <w:ind w:firstLine="640"/>
        <w:jc w:val="both"/>
      </w:pPr>
      <w:r>
        <w:rPr>
          <w:rFonts w:ascii="仿宋_GB2312" w:hAnsi="仿宋_GB2312" w:eastAsia="仿宋_GB2312"/>
          <w:b w:val="0"/>
          <w:sz w:val="32"/>
        </w:rPr>
        <w:t>截至2024年12月31日，房屋2,790.56平方米，价值858.68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1ED1D590">
      <w:pPr>
        <w:spacing w:line="640" w:lineRule="exact"/>
        <w:ind w:firstLine="640"/>
        <w:jc w:val="both"/>
        <w:outlineLvl w:val="2"/>
      </w:pPr>
      <w:r>
        <w:rPr>
          <w:rFonts w:ascii="黑体" w:hAnsi="黑体" w:eastAsia="黑体"/>
          <w:sz w:val="32"/>
        </w:rPr>
        <w:t>十一、预算绩效的情况说明</w:t>
      </w:r>
    </w:p>
    <w:p w14:paraId="1132A07E">
      <w:pPr>
        <w:spacing w:line="580" w:lineRule="exact"/>
        <w:ind w:firstLine="640"/>
        <w:jc w:val="both"/>
      </w:pPr>
      <w:r>
        <w:rPr>
          <w:rFonts w:ascii="仿宋_GB2312" w:hAnsi="仿宋_GB2312" w:eastAsia="仿宋_GB2312"/>
          <w:b w:val="0"/>
          <w:sz w:val="32"/>
        </w:rPr>
        <w:t>根据预算绩效管理要求，本单位预算绩效评价项目0个，全年预算数0.00万元，全年执行数0.00万元。预算绩效管理取得的成效：2024年本单位无预算绩效项目。发现的问题及原因：2024年本单位无预算绩效项目。下一步改进措施：2024年本单位无预算绩效项目。</w:t>
      </w:r>
    </w:p>
    <w:p w14:paraId="6D950185">
      <w:r>
        <w:br w:type="page"/>
      </w:r>
    </w:p>
    <w:p w14:paraId="0DC7E017">
      <w:pPr>
        <w:spacing w:line="640" w:lineRule="exact"/>
        <w:ind w:firstLine="640"/>
        <w:jc w:val="both"/>
        <w:outlineLvl w:val="2"/>
      </w:pPr>
      <w:r>
        <w:rPr>
          <w:rFonts w:ascii="黑体" w:hAnsi="黑体" w:eastAsia="黑体"/>
          <w:sz w:val="32"/>
        </w:rPr>
        <w:t>十二、其他需说明的事项</w:t>
      </w:r>
    </w:p>
    <w:p w14:paraId="1E9E3804">
      <w:pPr>
        <w:spacing w:line="580" w:lineRule="exact"/>
        <w:ind w:firstLine="640"/>
        <w:jc w:val="both"/>
      </w:pPr>
      <w:r>
        <w:rPr>
          <w:rFonts w:ascii="仿宋_GB2312" w:hAnsi="仿宋_GB2312" w:eastAsia="仿宋_GB2312"/>
          <w:b w:val="0"/>
          <w:sz w:val="32"/>
        </w:rPr>
        <w:t>本年度本单位整体绩效自评表由主管部门编报并公开。</w:t>
      </w:r>
    </w:p>
    <w:p w14:paraId="0CA4F643">
      <w:r>
        <w:br w:type="page"/>
      </w:r>
    </w:p>
    <w:p w14:paraId="3D08F96F">
      <w:pPr>
        <w:spacing w:line="240" w:lineRule="auto"/>
        <w:jc w:val="center"/>
        <w:outlineLvl w:val="1"/>
      </w:pPr>
      <w:r>
        <w:rPr>
          <w:rFonts w:ascii="黑体" w:hAnsi="黑体" w:eastAsia="黑体"/>
          <w:sz w:val="32"/>
        </w:rPr>
        <w:t>第三部分 专业名词解释</w:t>
      </w:r>
    </w:p>
    <w:p w14:paraId="39C0A687">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06622AA2">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737C0557">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39A12EA0">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6D5D292D">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31E3387E">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0BC887FE">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7F7F042C">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47741D62">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68170F52">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0425CAF3">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49129A5D">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5C8356D3">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830634B">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157E48E8">
      <w:r>
        <w:br w:type="page"/>
      </w:r>
    </w:p>
    <w:p w14:paraId="650F2C94">
      <w:pPr>
        <w:spacing w:line="240" w:lineRule="auto"/>
        <w:jc w:val="center"/>
        <w:outlineLvl w:val="1"/>
      </w:pPr>
      <w:r>
        <w:rPr>
          <w:rFonts w:ascii="黑体" w:hAnsi="黑体" w:eastAsia="黑体"/>
          <w:sz w:val="32"/>
        </w:rPr>
        <w:t>第四部分 部门决算报表（见附表）</w:t>
      </w:r>
    </w:p>
    <w:p w14:paraId="268E4D27">
      <w:pPr>
        <w:spacing w:line="240" w:lineRule="auto"/>
        <w:ind w:firstLine="640"/>
        <w:jc w:val="both"/>
      </w:pPr>
      <w:r>
        <w:rPr>
          <w:rFonts w:ascii="仿宋_GB2312" w:hAnsi="仿宋_GB2312" w:eastAsia="仿宋_GB2312"/>
          <w:b w:val="0"/>
          <w:sz w:val="32"/>
        </w:rPr>
        <w:t>一、《收入支出决算总表》</w:t>
      </w:r>
    </w:p>
    <w:p w14:paraId="4D052A64">
      <w:pPr>
        <w:spacing w:line="240" w:lineRule="auto"/>
        <w:ind w:firstLine="640"/>
        <w:jc w:val="both"/>
      </w:pPr>
      <w:r>
        <w:rPr>
          <w:rFonts w:ascii="仿宋_GB2312" w:hAnsi="仿宋_GB2312" w:eastAsia="仿宋_GB2312"/>
          <w:b w:val="0"/>
          <w:sz w:val="32"/>
        </w:rPr>
        <w:t>二、《收入决算表》</w:t>
      </w:r>
    </w:p>
    <w:p w14:paraId="60EA2D26">
      <w:pPr>
        <w:spacing w:line="240" w:lineRule="auto"/>
        <w:ind w:firstLine="640"/>
        <w:jc w:val="both"/>
      </w:pPr>
      <w:r>
        <w:rPr>
          <w:rFonts w:ascii="仿宋_GB2312" w:hAnsi="仿宋_GB2312" w:eastAsia="仿宋_GB2312"/>
          <w:b w:val="0"/>
          <w:sz w:val="32"/>
        </w:rPr>
        <w:t>三、《支出决算表》</w:t>
      </w:r>
    </w:p>
    <w:p w14:paraId="4A952BF8">
      <w:pPr>
        <w:spacing w:line="240" w:lineRule="auto"/>
        <w:ind w:firstLine="640"/>
        <w:jc w:val="both"/>
      </w:pPr>
      <w:r>
        <w:rPr>
          <w:rFonts w:ascii="仿宋_GB2312" w:hAnsi="仿宋_GB2312" w:eastAsia="仿宋_GB2312"/>
          <w:b w:val="0"/>
          <w:sz w:val="32"/>
        </w:rPr>
        <w:t>四、《财政拨款收入支出决算总表》</w:t>
      </w:r>
    </w:p>
    <w:p w14:paraId="675D8797">
      <w:pPr>
        <w:spacing w:line="240" w:lineRule="auto"/>
        <w:ind w:firstLine="640"/>
        <w:jc w:val="both"/>
      </w:pPr>
      <w:r>
        <w:rPr>
          <w:rFonts w:ascii="仿宋_GB2312" w:hAnsi="仿宋_GB2312" w:eastAsia="仿宋_GB2312"/>
          <w:b w:val="0"/>
          <w:sz w:val="32"/>
        </w:rPr>
        <w:t>五、《一般公共预算财政拨款支出决算表》</w:t>
      </w:r>
    </w:p>
    <w:p w14:paraId="326AE771">
      <w:pPr>
        <w:spacing w:line="240" w:lineRule="auto"/>
        <w:ind w:firstLine="640"/>
        <w:jc w:val="both"/>
      </w:pPr>
      <w:r>
        <w:rPr>
          <w:rFonts w:ascii="仿宋_GB2312" w:hAnsi="仿宋_GB2312" w:eastAsia="仿宋_GB2312"/>
          <w:b w:val="0"/>
          <w:sz w:val="32"/>
        </w:rPr>
        <w:t>六、《一般公共预算财政拨款基本支出决算表》</w:t>
      </w:r>
    </w:p>
    <w:p w14:paraId="0ABBA918">
      <w:pPr>
        <w:spacing w:line="240" w:lineRule="auto"/>
        <w:ind w:firstLine="640"/>
        <w:jc w:val="both"/>
      </w:pPr>
      <w:r>
        <w:rPr>
          <w:rFonts w:ascii="仿宋_GB2312" w:hAnsi="仿宋_GB2312" w:eastAsia="仿宋_GB2312"/>
          <w:b w:val="0"/>
          <w:sz w:val="32"/>
        </w:rPr>
        <w:t>七、《政府性基金预算财政拨款收入支出决算表》</w:t>
      </w:r>
    </w:p>
    <w:p w14:paraId="3A799C4B">
      <w:pPr>
        <w:spacing w:line="240" w:lineRule="auto"/>
        <w:ind w:firstLine="640"/>
        <w:jc w:val="both"/>
      </w:pPr>
      <w:r>
        <w:rPr>
          <w:rFonts w:ascii="仿宋_GB2312" w:hAnsi="仿宋_GB2312" w:eastAsia="仿宋_GB2312"/>
          <w:b w:val="0"/>
          <w:sz w:val="32"/>
        </w:rPr>
        <w:t>八、《国有资本经营预算财政拨款收入支出决算表》</w:t>
      </w:r>
    </w:p>
    <w:p w14:paraId="36AEADE6">
      <w:pPr>
        <w:spacing w:line="240" w:lineRule="auto"/>
        <w:ind w:firstLine="640"/>
        <w:jc w:val="both"/>
      </w:pPr>
      <w:r>
        <w:rPr>
          <w:rFonts w:ascii="仿宋_GB2312" w:hAnsi="仿宋_GB2312" w:eastAsia="仿宋_GB2312"/>
          <w:b w:val="0"/>
          <w:sz w:val="32"/>
        </w:rPr>
        <w:t>九、《财政拨款“三公”经费支出决算表》</w:t>
      </w:r>
    </w:p>
    <w:p w14:paraId="35551A56">
      <w:pPr>
        <w:spacing w:line="240" w:lineRule="auto"/>
        <w:ind w:firstLine="640"/>
        <w:jc w:val="both"/>
      </w:pPr>
    </w:p>
    <w:p w14:paraId="668E54B4">
      <w:pPr>
        <w:spacing w:line="240" w:lineRule="auto"/>
        <w:ind w:firstLine="640"/>
        <w:jc w:val="both"/>
      </w:pPr>
    </w:p>
    <w:p w14:paraId="3D2CCF76">
      <w:pPr>
        <w:spacing w:line="240" w:lineRule="auto"/>
        <w:ind w:firstLine="640"/>
        <w:jc w:val="both"/>
      </w:pPr>
    </w:p>
    <w:p w14:paraId="468FF1F4">
      <w:pPr>
        <w:spacing w:line="240" w:lineRule="auto"/>
        <w:ind w:firstLine="640"/>
        <w:jc w:val="both"/>
      </w:pPr>
    </w:p>
    <w:p w14:paraId="10751F71">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CA86FD0-29B7-4FC1-89B9-9E0D1AE13D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3D5C6192-E847-467D-8F44-47BC2F8FD83D}"/>
  </w:font>
  <w:font w:name="仿宋_GB2312">
    <w:panose1 w:val="02010609030101010101"/>
    <w:charset w:val="86"/>
    <w:family w:val="modern"/>
    <w:pitch w:val="default"/>
    <w:sig w:usb0="00000001" w:usb1="080E0000" w:usb2="00000000" w:usb3="00000000" w:csb0="00040000" w:csb1="00000000"/>
    <w:embedRegular r:id="rId3" w:fontKey="{61600A8D-713A-42AD-A3FE-A912327A72A8}"/>
  </w:font>
  <w:font w:name="楷体_GB2312">
    <w:panose1 w:val="02010609030101010101"/>
    <w:charset w:val="86"/>
    <w:family w:val="auto"/>
    <w:pitch w:val="default"/>
    <w:sig w:usb0="00000001" w:usb1="080E0000" w:usb2="00000000" w:usb3="00000000" w:csb0="00040000" w:csb1="00000000"/>
    <w:embedRegular r:id="rId4" w:fontKey="{AB78247F-1F42-4180-89A7-ACBE7AAD1B92}"/>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1F70F54"/>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41748E"/>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4432</Words>
  <Characters>4975</Characters>
  <Lines>0</Lines>
  <Paragraphs>0</Paragraphs>
  <TotalTime>6</TotalTime>
  <ScaleCrop>false</ScaleCrop>
  <LinksUpToDate>false</LinksUpToDate>
  <CharactersWithSpaces>4985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2025-09-26T09:50:14Z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eyJoZGlkIjoiMGIxZTI3ODM4ZmVjOGE5NDFiYmE3OTRiMjQ5OTEyNzIiLCJ1c2VySWQiOiIzNzI2MDMzNTYifQ==</vt:lpwstr>
  </property>
</Properties>
</file>