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DA4E0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且末县塔提让镇幼儿园</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FB00A1A">
      <w:r>
        <w:br w:type="page"/>
      </w:r>
    </w:p>
    <w:p w14:paraId="31605616">
      <w:pPr>
        <w:spacing w:line="640" w:lineRule="exact"/>
        <w:jc w:val="center"/>
        <w:outlineLvl w:val="1"/>
      </w:pPr>
      <w:r>
        <w:rPr>
          <w:rFonts w:ascii="黑体" w:hAnsi="黑体" w:eastAsia="黑体"/>
          <w:sz w:val="32"/>
        </w:rPr>
        <w:t>第一部分 单位概况</w:t>
      </w:r>
    </w:p>
    <w:p w14:paraId="1FA4BBAD">
      <w:pPr>
        <w:spacing w:line="640" w:lineRule="exact"/>
        <w:ind w:firstLine="640"/>
        <w:jc w:val="both"/>
        <w:outlineLvl w:val="2"/>
      </w:pPr>
      <w:r>
        <w:rPr>
          <w:rFonts w:ascii="黑体" w:hAnsi="黑体" w:eastAsia="黑体"/>
          <w:sz w:val="32"/>
        </w:rPr>
        <w:t>一、主要职能</w:t>
      </w:r>
    </w:p>
    <w:p w14:paraId="3CE8C242">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w:t>
      </w:r>
      <w:bookmarkStart w:id="0" w:name="_GoBack"/>
      <w:r>
        <w:rPr>
          <w:rFonts w:ascii="仿宋_GB2312" w:hAnsi="仿宋_GB2312" w:eastAsia="仿宋_GB2312"/>
          <w:sz w:val="32"/>
        </w:rPr>
        <w:t>焦虑</w:t>
      </w:r>
      <w:bookmarkEnd w:id="0"/>
      <w:r>
        <w:rPr>
          <w:rFonts w:ascii="仿宋_GB2312" w:hAnsi="仿宋_GB2312" w:eastAsia="仿宋_GB2312"/>
          <w:sz w:val="32"/>
        </w:rPr>
        <w:t>。通过集体活动、区域活动、户外活动、自主游戏等促进幼儿德、智、体、美等多方面发展。引导幼儿初步养成良好的生活和学习习惯，如规则意识、集体意识的阶段教育。</w:t>
      </w:r>
    </w:p>
    <w:p w14:paraId="4C778517">
      <w:pPr>
        <w:spacing w:line="640" w:lineRule="exact"/>
        <w:ind w:firstLine="640"/>
        <w:jc w:val="both"/>
        <w:outlineLvl w:val="2"/>
      </w:pPr>
      <w:r>
        <w:rPr>
          <w:rFonts w:ascii="黑体" w:hAnsi="黑体" w:eastAsia="黑体"/>
          <w:sz w:val="32"/>
        </w:rPr>
        <w:t>二、机构设置及人员情况</w:t>
      </w:r>
    </w:p>
    <w:p w14:paraId="6C16D29F">
      <w:pPr>
        <w:spacing w:line="580" w:lineRule="exact"/>
        <w:ind w:firstLine="640"/>
        <w:jc w:val="both"/>
      </w:pPr>
      <w:r>
        <w:rPr>
          <w:rFonts w:ascii="仿宋_GB2312" w:hAnsi="仿宋_GB2312" w:eastAsia="仿宋_GB2312"/>
          <w:sz w:val="32"/>
        </w:rPr>
        <w:t>且末县塔提让镇幼儿园2024年度，实有人数14人，其中：在职人员13人，减少2人；离休人员0人，增加0人；退休人员1人,增加1人。</w:t>
      </w:r>
    </w:p>
    <w:p w14:paraId="55938215">
      <w:pPr>
        <w:spacing w:line="580" w:lineRule="exact"/>
        <w:ind w:firstLine="640"/>
        <w:jc w:val="both"/>
      </w:pPr>
      <w:r>
        <w:rPr>
          <w:rFonts w:ascii="仿宋_GB2312" w:hAnsi="仿宋_GB2312" w:eastAsia="仿宋_GB2312"/>
          <w:sz w:val="32"/>
        </w:rPr>
        <w:t>且末县塔提让镇幼儿园无下属预算单位，下设5个科室，分别是：办公室、党建办、安全办、保教处、后勤处。</w:t>
      </w:r>
    </w:p>
    <w:p w14:paraId="31894812">
      <w:r>
        <w:br w:type="page"/>
      </w:r>
    </w:p>
    <w:p w14:paraId="1DED49A5">
      <w:pPr>
        <w:spacing w:line="240" w:lineRule="auto"/>
        <w:jc w:val="center"/>
        <w:outlineLvl w:val="1"/>
      </w:pPr>
      <w:r>
        <w:rPr>
          <w:rFonts w:ascii="黑体" w:hAnsi="黑体" w:eastAsia="黑体"/>
          <w:sz w:val="32"/>
        </w:rPr>
        <w:t>第二部分 部门决算情况说明</w:t>
      </w:r>
    </w:p>
    <w:p w14:paraId="0253BFAC">
      <w:pPr>
        <w:spacing w:line="640" w:lineRule="exact"/>
        <w:ind w:firstLine="640"/>
        <w:jc w:val="both"/>
        <w:outlineLvl w:val="2"/>
      </w:pPr>
      <w:r>
        <w:rPr>
          <w:rFonts w:ascii="黑体" w:hAnsi="黑体" w:eastAsia="黑体"/>
          <w:sz w:val="32"/>
        </w:rPr>
        <w:t>一、收入支出决算总体情况说明</w:t>
      </w:r>
    </w:p>
    <w:p w14:paraId="7F974998">
      <w:pPr>
        <w:spacing w:line="580" w:lineRule="exact"/>
        <w:ind w:firstLine="640"/>
        <w:jc w:val="both"/>
      </w:pPr>
      <w:r>
        <w:rPr>
          <w:rFonts w:ascii="仿宋_GB2312" w:hAnsi="仿宋_GB2312" w:eastAsia="仿宋_GB2312"/>
          <w:b/>
          <w:sz w:val="32"/>
        </w:rPr>
        <w:t>2024年度收入总计380.10万元，</w:t>
      </w:r>
      <w:r>
        <w:rPr>
          <w:rFonts w:ascii="仿宋_GB2312" w:hAnsi="仿宋_GB2312" w:eastAsia="仿宋_GB2312"/>
          <w:b w:val="0"/>
          <w:sz w:val="32"/>
        </w:rPr>
        <w:t>其中：本年收入合计380.10万元，使用非财政拨款结余（含专用结余）0.00万元，年初结转和结余0.00万元。</w:t>
      </w:r>
    </w:p>
    <w:p w14:paraId="473D2927">
      <w:pPr>
        <w:spacing w:line="580" w:lineRule="exact"/>
        <w:ind w:firstLine="640"/>
        <w:jc w:val="both"/>
      </w:pPr>
      <w:r>
        <w:rPr>
          <w:rFonts w:ascii="仿宋_GB2312" w:hAnsi="仿宋_GB2312" w:eastAsia="仿宋_GB2312"/>
          <w:b/>
          <w:sz w:val="32"/>
        </w:rPr>
        <w:t>2024年度支出总计380.10万元，</w:t>
      </w:r>
      <w:r>
        <w:rPr>
          <w:rFonts w:ascii="仿宋_GB2312" w:hAnsi="仿宋_GB2312" w:eastAsia="仿宋_GB2312"/>
          <w:b w:val="0"/>
          <w:sz w:val="32"/>
        </w:rPr>
        <w:t>其中：本年支出合计380.10万元，结余分配0.00万元，年末结转和结余0.00万元。</w:t>
      </w:r>
    </w:p>
    <w:p w14:paraId="6C938DE5">
      <w:pPr>
        <w:spacing w:line="580" w:lineRule="exact"/>
        <w:ind w:firstLine="640"/>
        <w:jc w:val="both"/>
      </w:pPr>
      <w:r>
        <w:rPr>
          <w:rFonts w:ascii="仿宋_GB2312" w:hAnsi="仿宋_GB2312" w:eastAsia="仿宋_GB2312"/>
          <w:b w:val="0"/>
          <w:sz w:val="32"/>
        </w:rPr>
        <w:t>收入支出总体与上年相比，增加99.98万元，增长35.69%，主要原因是：一是本年在职人员工资调增，社保、公积金基数调增，人员经费增加；二是2024年幼儿园园舍维修资金增加，所以日常公用经费增加。</w:t>
      </w:r>
    </w:p>
    <w:p w14:paraId="311DB305">
      <w:pPr>
        <w:spacing w:line="640" w:lineRule="exact"/>
        <w:ind w:firstLine="640"/>
        <w:jc w:val="both"/>
        <w:outlineLvl w:val="2"/>
      </w:pPr>
      <w:r>
        <w:rPr>
          <w:rFonts w:ascii="黑体" w:hAnsi="黑体" w:eastAsia="黑体"/>
          <w:sz w:val="32"/>
        </w:rPr>
        <w:t>二、收入决算情况说明</w:t>
      </w:r>
    </w:p>
    <w:p w14:paraId="3C662865">
      <w:pPr>
        <w:spacing w:line="580" w:lineRule="exact"/>
        <w:ind w:firstLine="640"/>
        <w:jc w:val="both"/>
      </w:pPr>
      <w:r>
        <w:rPr>
          <w:rFonts w:ascii="仿宋_GB2312" w:hAnsi="仿宋_GB2312" w:eastAsia="仿宋_GB2312"/>
          <w:b/>
          <w:sz w:val="32"/>
        </w:rPr>
        <w:t>本年收入380.10万元，</w:t>
      </w:r>
      <w:r>
        <w:rPr>
          <w:rFonts w:ascii="仿宋_GB2312" w:hAnsi="仿宋_GB2312" w:eastAsia="仿宋_GB2312"/>
          <w:b w:val="0"/>
          <w:sz w:val="32"/>
        </w:rPr>
        <w:t>其中：财政拨款收入380.10万元，占100.00%；上级补助收入0.00万元，占0.00%；事业收入0.00万元，占0.00%；经营收入0.00万元，占0.00%；附属单位上缴收入0.00万元，占0.00%；其他收入0.00万元，占0.00%。</w:t>
      </w:r>
    </w:p>
    <w:p w14:paraId="3B379531">
      <w:pPr>
        <w:spacing w:line="640" w:lineRule="exact"/>
        <w:ind w:firstLine="640"/>
        <w:jc w:val="both"/>
        <w:outlineLvl w:val="2"/>
      </w:pPr>
      <w:r>
        <w:rPr>
          <w:rFonts w:ascii="黑体" w:hAnsi="黑体" w:eastAsia="黑体"/>
          <w:sz w:val="32"/>
        </w:rPr>
        <w:t>三、支出决算情况说明</w:t>
      </w:r>
    </w:p>
    <w:p w14:paraId="0FC906DB">
      <w:pPr>
        <w:spacing w:line="580" w:lineRule="exact"/>
        <w:ind w:firstLine="640"/>
        <w:jc w:val="both"/>
      </w:pPr>
      <w:r>
        <w:rPr>
          <w:rFonts w:ascii="仿宋_GB2312" w:hAnsi="仿宋_GB2312" w:eastAsia="仿宋_GB2312"/>
          <w:b/>
          <w:sz w:val="32"/>
        </w:rPr>
        <w:t>本年支出380.10万元，</w:t>
      </w:r>
      <w:r>
        <w:rPr>
          <w:rFonts w:ascii="仿宋_GB2312" w:hAnsi="仿宋_GB2312" w:eastAsia="仿宋_GB2312"/>
          <w:b w:val="0"/>
          <w:sz w:val="32"/>
        </w:rPr>
        <w:t>其中：基本支出380.10万元，占100.00%；项目支出0.00万元，占0.00%；上缴上级支出0.00万元，占0.00%；经营支出0.00万元，占0.00%；对附属单位补助支出0.00万元，占0.00%。</w:t>
      </w:r>
    </w:p>
    <w:p w14:paraId="72FA96EF">
      <w:pPr>
        <w:spacing w:line="640" w:lineRule="exact"/>
        <w:ind w:firstLine="640"/>
        <w:jc w:val="both"/>
        <w:outlineLvl w:val="2"/>
      </w:pPr>
      <w:r>
        <w:rPr>
          <w:rFonts w:ascii="黑体" w:hAnsi="黑体" w:eastAsia="黑体"/>
          <w:sz w:val="32"/>
        </w:rPr>
        <w:t>四、财政拨款收入支出决算总体情况说明</w:t>
      </w:r>
    </w:p>
    <w:p w14:paraId="720161E5">
      <w:pPr>
        <w:spacing w:line="580" w:lineRule="exact"/>
        <w:ind w:firstLine="640"/>
        <w:jc w:val="both"/>
      </w:pPr>
      <w:r>
        <w:rPr>
          <w:rFonts w:ascii="仿宋_GB2312" w:hAnsi="仿宋_GB2312" w:eastAsia="仿宋_GB2312"/>
          <w:b/>
          <w:sz w:val="32"/>
        </w:rPr>
        <w:t>2024年度财政拨款收入总计380.10万元，</w:t>
      </w:r>
      <w:r>
        <w:rPr>
          <w:rFonts w:ascii="仿宋_GB2312" w:hAnsi="仿宋_GB2312" w:eastAsia="仿宋_GB2312"/>
          <w:b w:val="0"/>
          <w:sz w:val="32"/>
        </w:rPr>
        <w:t>其中：年初财政拨款结转和结余0.00万元，本年财政拨款收入380.10万元。</w:t>
      </w:r>
      <w:r>
        <w:rPr>
          <w:rFonts w:ascii="仿宋_GB2312" w:hAnsi="仿宋_GB2312" w:eastAsia="仿宋_GB2312"/>
          <w:b/>
          <w:sz w:val="32"/>
        </w:rPr>
        <w:t>财政拨款支出总计380.10万元，</w:t>
      </w:r>
      <w:r>
        <w:rPr>
          <w:rFonts w:ascii="仿宋_GB2312" w:hAnsi="仿宋_GB2312" w:eastAsia="仿宋_GB2312"/>
          <w:b w:val="0"/>
          <w:sz w:val="32"/>
        </w:rPr>
        <w:t>其中：年末财政拨款结转和结余0.00万元，本年财政拨款支出380.10万元。</w:t>
      </w:r>
    </w:p>
    <w:p w14:paraId="08FD51E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增加99.98万元，增长35.69%，主要原因是：一是本年在职人员工资调增，社保、公积金基数调增，人员经费增加；二是2024年幼儿园园舍维修资金增加，所以日常公用经费增加。</w:t>
      </w:r>
      <w:r>
        <w:rPr>
          <w:rFonts w:ascii="仿宋_GB2312" w:hAnsi="仿宋_GB2312" w:eastAsia="仿宋_GB2312"/>
          <w:b/>
          <w:sz w:val="32"/>
        </w:rPr>
        <w:t>与年初预算相比，</w:t>
      </w:r>
      <w:r>
        <w:rPr>
          <w:rFonts w:ascii="仿宋_GB2312" w:hAnsi="仿宋_GB2312" w:eastAsia="仿宋_GB2312"/>
          <w:b w:val="0"/>
          <w:sz w:val="32"/>
        </w:rPr>
        <w:t>年初预算数239.57万元，决算数380.10万元，预决算差异率58.66%，主要原因是：年中追加人员工资、社保、公积金基数调增部分资金，导致预决算存在差异。</w:t>
      </w:r>
    </w:p>
    <w:p w14:paraId="1CC01D54">
      <w:pPr>
        <w:spacing w:line="640" w:lineRule="exact"/>
        <w:ind w:firstLine="640"/>
        <w:jc w:val="both"/>
        <w:outlineLvl w:val="2"/>
      </w:pPr>
      <w:r>
        <w:rPr>
          <w:rFonts w:ascii="黑体" w:hAnsi="黑体" w:eastAsia="黑体"/>
          <w:sz w:val="32"/>
        </w:rPr>
        <w:t>五、一般公共预算财政拨款支出决算情况说明</w:t>
      </w:r>
    </w:p>
    <w:p w14:paraId="5A02271E">
      <w:pPr>
        <w:spacing w:line="640" w:lineRule="exact"/>
        <w:ind w:firstLine="640"/>
        <w:jc w:val="both"/>
        <w:outlineLvl w:val="3"/>
      </w:pPr>
      <w:r>
        <w:rPr>
          <w:rFonts w:ascii="楷体_GB2312" w:hAnsi="楷体_GB2312" w:eastAsia="楷体_GB2312"/>
          <w:b/>
          <w:sz w:val="32"/>
        </w:rPr>
        <w:t>（一）一般公共预算财政拨款支出决算总体情况</w:t>
      </w:r>
    </w:p>
    <w:p w14:paraId="5611C940">
      <w:pPr>
        <w:spacing w:line="580" w:lineRule="exact"/>
        <w:ind w:firstLine="640"/>
        <w:jc w:val="both"/>
      </w:pPr>
      <w:r>
        <w:rPr>
          <w:rFonts w:ascii="仿宋_GB2312" w:hAnsi="仿宋_GB2312" w:eastAsia="仿宋_GB2312"/>
          <w:b/>
          <w:sz w:val="32"/>
        </w:rPr>
        <w:t>2024年度一般公共预算财政拨款支出380.10万元，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增加99.98万元，增长35.69%，主要原因是：一是本年在职人员工资调增，社保、公积金基数调增，人员经费增加；二是2024年幼儿园园舍维修资金增加，所以日常公用经费增加。</w:t>
      </w:r>
      <w:r>
        <w:rPr>
          <w:rFonts w:ascii="仿宋_GB2312" w:hAnsi="仿宋_GB2312" w:eastAsia="仿宋_GB2312"/>
          <w:b/>
          <w:sz w:val="32"/>
        </w:rPr>
        <w:t>与年初预算相比,</w:t>
      </w:r>
      <w:r>
        <w:rPr>
          <w:rFonts w:ascii="仿宋_GB2312" w:hAnsi="仿宋_GB2312" w:eastAsia="仿宋_GB2312"/>
          <w:b w:val="0"/>
          <w:sz w:val="32"/>
        </w:rPr>
        <w:t>年初预算数239.57万元，决算数380.10万元，预决算差异率58.66%，主要原因是：年中追加人员工资、社保、公积金基数调增部分资金，导致预决算存在差异。</w:t>
      </w:r>
    </w:p>
    <w:p w14:paraId="733BA8D5">
      <w:pPr>
        <w:spacing w:line="640" w:lineRule="exact"/>
        <w:ind w:firstLine="640"/>
        <w:jc w:val="both"/>
        <w:outlineLvl w:val="3"/>
      </w:pPr>
      <w:r>
        <w:rPr>
          <w:rFonts w:ascii="楷体_GB2312" w:hAnsi="楷体_GB2312" w:eastAsia="楷体_GB2312"/>
          <w:b/>
          <w:sz w:val="32"/>
        </w:rPr>
        <w:t>（二）一般公共预算财政拨款支出决算结构情况</w:t>
      </w:r>
    </w:p>
    <w:p w14:paraId="1408D24F">
      <w:pPr>
        <w:spacing w:line="580" w:lineRule="exact"/>
        <w:ind w:firstLine="640"/>
        <w:jc w:val="both"/>
      </w:pPr>
      <w:r>
        <w:rPr>
          <w:rFonts w:ascii="仿宋_GB2312" w:hAnsi="仿宋_GB2312" w:eastAsia="仿宋_GB2312"/>
          <w:b w:val="0"/>
          <w:sz w:val="32"/>
        </w:rPr>
        <w:t>1.教育支出(类)380.10万元,占100.00%。</w:t>
      </w:r>
    </w:p>
    <w:p w14:paraId="1119FD37">
      <w:pPr>
        <w:spacing w:line="640" w:lineRule="exact"/>
        <w:ind w:firstLine="640"/>
        <w:jc w:val="both"/>
        <w:outlineLvl w:val="3"/>
      </w:pPr>
      <w:r>
        <w:rPr>
          <w:rFonts w:ascii="楷体_GB2312" w:hAnsi="楷体_GB2312" w:eastAsia="楷体_GB2312"/>
          <w:b/>
          <w:sz w:val="32"/>
        </w:rPr>
        <w:t>（三）一般公共预算财政拨款支出决算具体情况</w:t>
      </w:r>
    </w:p>
    <w:p w14:paraId="7BABCA15">
      <w:pPr>
        <w:spacing w:line="580" w:lineRule="exact"/>
        <w:ind w:firstLine="640"/>
        <w:jc w:val="both"/>
      </w:pPr>
      <w:r>
        <w:rPr>
          <w:rFonts w:ascii="仿宋_GB2312" w:hAnsi="仿宋_GB2312" w:eastAsia="仿宋_GB2312"/>
          <w:b w:val="0"/>
          <w:sz w:val="32"/>
        </w:rPr>
        <w:t>1.教育支出(类)普通教育(款)学前教育(项):支出决算数为380.10万元，比上年决算增加121.82万元，增长47.17%,主要原因是：一是本年在职人员工资调增，社保、公积金基数调增，人员经费增加；二是2024年幼儿园园舍维修资金增加，所以日常公用经费增加；三是本年功能科目调整，养老保险缴费调整至主科目列支，经费支出增加。</w:t>
      </w:r>
    </w:p>
    <w:p w14:paraId="1B3021DC">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21.83万元，下降100.00%,主要原因是：本年功能科目调整，养老保险缴费上年度单独列支，本年调整至主科目列支，导致经费较上年减少。</w:t>
      </w:r>
    </w:p>
    <w:p w14:paraId="7824C39C">
      <w:pPr>
        <w:spacing w:line="640" w:lineRule="exact"/>
        <w:ind w:firstLine="640"/>
        <w:jc w:val="both"/>
        <w:outlineLvl w:val="2"/>
      </w:pPr>
      <w:r>
        <w:rPr>
          <w:rFonts w:ascii="黑体" w:hAnsi="黑体" w:eastAsia="黑体"/>
          <w:sz w:val="32"/>
        </w:rPr>
        <w:t>六、一般公共预算财政拨款基本支出决算情况说明</w:t>
      </w:r>
    </w:p>
    <w:p w14:paraId="3721F6F9">
      <w:pPr>
        <w:spacing w:line="580" w:lineRule="exact"/>
        <w:ind w:firstLine="640"/>
        <w:jc w:val="both"/>
      </w:pPr>
      <w:r>
        <w:rPr>
          <w:rFonts w:ascii="仿宋_GB2312" w:hAnsi="仿宋_GB2312" w:eastAsia="仿宋_GB2312"/>
          <w:b w:val="0"/>
          <w:sz w:val="32"/>
        </w:rPr>
        <w:t>2024年度一般公共预算财政拨款基本支出380.10万元，其中：</w:t>
      </w:r>
      <w:r>
        <w:rPr>
          <w:rFonts w:ascii="仿宋_GB2312" w:hAnsi="仿宋_GB2312" w:eastAsia="仿宋_GB2312"/>
          <w:b/>
          <w:sz w:val="32"/>
        </w:rPr>
        <w:t>人员经费342.95万元，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465AC361">
      <w:pPr>
        <w:spacing w:line="580" w:lineRule="exact"/>
        <w:ind w:firstLine="640"/>
        <w:jc w:val="both"/>
      </w:pPr>
      <w:r>
        <w:rPr>
          <w:rFonts w:ascii="仿宋_GB2312" w:hAnsi="仿宋_GB2312" w:eastAsia="仿宋_GB2312"/>
          <w:b/>
          <w:sz w:val="32"/>
        </w:rPr>
        <w:t>公用经费37.15万元，</w:t>
      </w:r>
      <w:r>
        <w:rPr>
          <w:rFonts w:ascii="仿宋_GB2312" w:hAnsi="仿宋_GB2312" w:eastAsia="仿宋_GB2312"/>
          <w:b w:val="0"/>
          <w:sz w:val="32"/>
        </w:rPr>
        <w:t>包括：办公费、电费、邮电费、取暖费、维修（护）费、劳务费、办公设备购置。</w:t>
      </w:r>
    </w:p>
    <w:p w14:paraId="14D06BD4">
      <w:pPr>
        <w:spacing w:line="640" w:lineRule="exact"/>
        <w:ind w:firstLine="640"/>
        <w:jc w:val="both"/>
        <w:outlineLvl w:val="2"/>
      </w:pPr>
      <w:r>
        <w:rPr>
          <w:rFonts w:ascii="黑体" w:hAnsi="黑体" w:eastAsia="黑体"/>
          <w:sz w:val="32"/>
        </w:rPr>
        <w:t>七、政府性基金预算财政拨款收入支出决算情况说明</w:t>
      </w:r>
    </w:p>
    <w:p w14:paraId="5468FE5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D82622F">
      <w:pPr>
        <w:spacing w:line="640" w:lineRule="exact"/>
        <w:ind w:firstLine="640"/>
        <w:jc w:val="both"/>
        <w:outlineLvl w:val="2"/>
      </w:pPr>
      <w:r>
        <w:rPr>
          <w:rFonts w:ascii="黑体" w:hAnsi="黑体" w:eastAsia="黑体"/>
          <w:sz w:val="32"/>
        </w:rPr>
        <w:t>八、国有资本经营预算财政拨款收入支出决算情况说明</w:t>
      </w:r>
    </w:p>
    <w:p w14:paraId="7083D0D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B18D37C">
      <w:pPr>
        <w:spacing w:line="640" w:lineRule="exact"/>
        <w:ind w:firstLine="640"/>
        <w:jc w:val="both"/>
        <w:outlineLvl w:val="2"/>
      </w:pPr>
      <w:r>
        <w:rPr>
          <w:rFonts w:ascii="黑体" w:hAnsi="黑体" w:eastAsia="黑体"/>
          <w:sz w:val="32"/>
        </w:rPr>
        <w:t>九、财政拨款“三公”经费支出决算情况说明</w:t>
      </w:r>
    </w:p>
    <w:p w14:paraId="2A5F405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182EDA3">
      <w:pPr>
        <w:spacing w:line="580" w:lineRule="exact"/>
        <w:ind w:firstLine="640"/>
        <w:jc w:val="both"/>
      </w:pPr>
      <w:r>
        <w:rPr>
          <w:rFonts w:ascii="仿宋_GB2312" w:hAnsi="仿宋_GB2312" w:eastAsia="仿宋_GB2312"/>
          <w:b/>
          <w:sz w:val="32"/>
        </w:rPr>
        <w:t>具体情况如下：</w:t>
      </w:r>
    </w:p>
    <w:p w14:paraId="73A7AE2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6BF41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622F0A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F6D43B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FCA750B">
      <w:pPr>
        <w:spacing w:line="640" w:lineRule="exact"/>
        <w:ind w:firstLine="640"/>
        <w:jc w:val="both"/>
        <w:outlineLvl w:val="2"/>
      </w:pPr>
      <w:r>
        <w:rPr>
          <w:rFonts w:ascii="黑体" w:hAnsi="黑体" w:eastAsia="黑体"/>
          <w:sz w:val="32"/>
        </w:rPr>
        <w:t>十、其他重要事项的情况说明</w:t>
      </w:r>
    </w:p>
    <w:p w14:paraId="3DFBA305">
      <w:pPr>
        <w:spacing w:line="640" w:lineRule="exact"/>
        <w:ind w:firstLine="640"/>
        <w:jc w:val="both"/>
        <w:outlineLvl w:val="3"/>
      </w:pPr>
      <w:r>
        <w:rPr>
          <w:rFonts w:ascii="楷体_GB2312" w:hAnsi="楷体_GB2312" w:eastAsia="楷体_GB2312"/>
          <w:b/>
          <w:sz w:val="32"/>
        </w:rPr>
        <w:t>（一）机关运行经费及公用经费支出情况</w:t>
      </w:r>
    </w:p>
    <w:p w14:paraId="6CF367E4">
      <w:pPr>
        <w:spacing w:line="580" w:lineRule="exact"/>
        <w:ind w:firstLine="640"/>
        <w:jc w:val="both"/>
      </w:pPr>
      <w:r>
        <w:rPr>
          <w:rFonts w:ascii="仿宋_GB2312" w:hAnsi="仿宋_GB2312" w:eastAsia="仿宋_GB2312"/>
          <w:b w:val="0"/>
          <w:sz w:val="32"/>
        </w:rPr>
        <w:t>2024年度且末县塔提让镇幼儿园（事业单位）公用经费支出37.15万元，比上年增加21.00万元，增长130.03%，主要原因是：2024年幼儿园园舍维修资金增加，取暖费、维修费、办公设备购置费增加，导致公用经费增加。</w:t>
      </w:r>
    </w:p>
    <w:p w14:paraId="040D904F">
      <w:pPr>
        <w:spacing w:line="640" w:lineRule="exact"/>
        <w:ind w:firstLine="640"/>
        <w:jc w:val="both"/>
        <w:outlineLvl w:val="3"/>
      </w:pPr>
      <w:r>
        <w:rPr>
          <w:rFonts w:ascii="楷体_GB2312" w:hAnsi="楷体_GB2312" w:eastAsia="楷体_GB2312"/>
          <w:b/>
          <w:sz w:val="32"/>
        </w:rPr>
        <w:t>（二）政府采购情况</w:t>
      </w:r>
    </w:p>
    <w:p w14:paraId="4842BA40">
      <w:pPr>
        <w:spacing w:line="580" w:lineRule="exact"/>
        <w:ind w:firstLine="640"/>
        <w:jc w:val="both"/>
      </w:pPr>
      <w:r>
        <w:rPr>
          <w:rFonts w:ascii="仿宋_GB2312" w:hAnsi="仿宋_GB2312" w:eastAsia="仿宋_GB2312"/>
          <w:b w:val="0"/>
          <w:sz w:val="32"/>
        </w:rPr>
        <w:t>2024年度政府采购支出总额31.10万元，其中：政府采购货物支出2.48万元、政府采购工程支出20.86万元、政府采购服务支出7.76万元。</w:t>
      </w:r>
    </w:p>
    <w:p w14:paraId="40931A04">
      <w:pPr>
        <w:spacing w:line="580" w:lineRule="exact"/>
        <w:ind w:firstLine="640"/>
        <w:jc w:val="both"/>
      </w:pPr>
      <w:r>
        <w:rPr>
          <w:rFonts w:ascii="仿宋_GB2312" w:hAnsi="仿宋_GB2312" w:eastAsia="仿宋_GB2312"/>
          <w:b w:val="0"/>
          <w:sz w:val="32"/>
        </w:rPr>
        <w:t>授予中小企业合同金额31.01万元，占政府采购支出总额的99.71%，其中：授予小微企业合同金额31.01万元，占政府采购支出总额的99.71%。</w:t>
      </w:r>
    </w:p>
    <w:p w14:paraId="6E94673F">
      <w:pPr>
        <w:spacing w:line="640" w:lineRule="exact"/>
        <w:ind w:firstLine="640"/>
        <w:jc w:val="both"/>
        <w:outlineLvl w:val="3"/>
      </w:pPr>
      <w:r>
        <w:rPr>
          <w:rFonts w:ascii="楷体_GB2312" w:hAnsi="楷体_GB2312" w:eastAsia="楷体_GB2312"/>
          <w:b/>
          <w:sz w:val="32"/>
        </w:rPr>
        <w:t>（三）国有资产占用情况说明</w:t>
      </w:r>
    </w:p>
    <w:p w14:paraId="16B4BCC6">
      <w:pPr>
        <w:spacing w:line="580" w:lineRule="exact"/>
        <w:ind w:firstLine="640"/>
        <w:jc w:val="both"/>
      </w:pPr>
      <w:r>
        <w:rPr>
          <w:rFonts w:ascii="仿宋_GB2312" w:hAnsi="仿宋_GB2312" w:eastAsia="仿宋_GB2312"/>
          <w:b w:val="0"/>
          <w:sz w:val="32"/>
        </w:rPr>
        <w:t>截至2024年12月31日，房屋1,704.48平方米，价值436.99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3F7F1D7">
      <w:pPr>
        <w:spacing w:line="640" w:lineRule="exact"/>
        <w:ind w:firstLine="640"/>
        <w:jc w:val="both"/>
        <w:outlineLvl w:val="2"/>
      </w:pPr>
      <w:r>
        <w:rPr>
          <w:rFonts w:ascii="黑体" w:hAnsi="黑体" w:eastAsia="黑体"/>
          <w:sz w:val="32"/>
        </w:rPr>
        <w:t>十一、预算绩效的情况说明</w:t>
      </w:r>
    </w:p>
    <w:p w14:paraId="18BA2EC2">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0BCEBF8E">
      <w:r>
        <w:br w:type="page"/>
      </w:r>
    </w:p>
    <w:p w14:paraId="73649496">
      <w:pPr>
        <w:spacing w:line="640" w:lineRule="exact"/>
        <w:ind w:firstLine="640"/>
        <w:jc w:val="both"/>
        <w:outlineLvl w:val="2"/>
      </w:pPr>
      <w:r>
        <w:rPr>
          <w:rFonts w:ascii="黑体" w:hAnsi="黑体" w:eastAsia="黑体"/>
          <w:sz w:val="32"/>
        </w:rPr>
        <w:t>十二、其他需说明的事项</w:t>
      </w:r>
    </w:p>
    <w:p w14:paraId="490C1077">
      <w:pPr>
        <w:spacing w:line="580" w:lineRule="exact"/>
        <w:ind w:firstLine="640"/>
        <w:jc w:val="both"/>
      </w:pPr>
      <w:r>
        <w:rPr>
          <w:rFonts w:ascii="仿宋_GB2312" w:hAnsi="仿宋_GB2312" w:eastAsia="仿宋_GB2312"/>
          <w:b w:val="0"/>
          <w:sz w:val="32"/>
        </w:rPr>
        <w:t>本年度本单位整体绩效自评表由主管部门编报并公开。</w:t>
      </w:r>
    </w:p>
    <w:p w14:paraId="03502929">
      <w:r>
        <w:br w:type="page"/>
      </w:r>
    </w:p>
    <w:p w14:paraId="0DB5ABA7">
      <w:pPr>
        <w:spacing w:line="240" w:lineRule="auto"/>
        <w:jc w:val="center"/>
        <w:outlineLvl w:val="1"/>
      </w:pPr>
      <w:r>
        <w:rPr>
          <w:rFonts w:ascii="黑体" w:hAnsi="黑体" w:eastAsia="黑体"/>
          <w:sz w:val="32"/>
        </w:rPr>
        <w:t>第三部分 专业名词解释</w:t>
      </w:r>
    </w:p>
    <w:p w14:paraId="03E25D5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CC753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3AE743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9E948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F5FA9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4316EC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A18891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ECE1F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FD61D4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427E47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D167C1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3E5AE5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0245B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FF36B6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BE05F22">
      <w:r>
        <w:br w:type="page"/>
      </w:r>
    </w:p>
    <w:p w14:paraId="37C85DB4">
      <w:pPr>
        <w:spacing w:line="240" w:lineRule="auto"/>
        <w:jc w:val="center"/>
        <w:outlineLvl w:val="1"/>
      </w:pPr>
      <w:r>
        <w:rPr>
          <w:rFonts w:ascii="黑体" w:hAnsi="黑体" w:eastAsia="黑体"/>
          <w:sz w:val="32"/>
        </w:rPr>
        <w:t>第四部分 部门决算报表（见附表）</w:t>
      </w:r>
    </w:p>
    <w:p w14:paraId="22695975">
      <w:pPr>
        <w:spacing w:line="240" w:lineRule="auto"/>
        <w:ind w:firstLine="640"/>
        <w:jc w:val="both"/>
      </w:pPr>
      <w:r>
        <w:rPr>
          <w:rFonts w:ascii="仿宋_GB2312" w:hAnsi="仿宋_GB2312" w:eastAsia="仿宋_GB2312"/>
          <w:b w:val="0"/>
          <w:sz w:val="32"/>
        </w:rPr>
        <w:t>一、《收入支出决算总表》</w:t>
      </w:r>
    </w:p>
    <w:p w14:paraId="17ECE58E">
      <w:pPr>
        <w:spacing w:line="240" w:lineRule="auto"/>
        <w:ind w:firstLine="640"/>
        <w:jc w:val="both"/>
      </w:pPr>
      <w:r>
        <w:rPr>
          <w:rFonts w:ascii="仿宋_GB2312" w:hAnsi="仿宋_GB2312" w:eastAsia="仿宋_GB2312"/>
          <w:b w:val="0"/>
          <w:sz w:val="32"/>
        </w:rPr>
        <w:t>二、《收入决算表》</w:t>
      </w:r>
    </w:p>
    <w:p w14:paraId="1EDBFA68">
      <w:pPr>
        <w:spacing w:line="240" w:lineRule="auto"/>
        <w:ind w:firstLine="640"/>
        <w:jc w:val="both"/>
      </w:pPr>
      <w:r>
        <w:rPr>
          <w:rFonts w:ascii="仿宋_GB2312" w:hAnsi="仿宋_GB2312" w:eastAsia="仿宋_GB2312"/>
          <w:b w:val="0"/>
          <w:sz w:val="32"/>
        </w:rPr>
        <w:t>三、《支出决算表》</w:t>
      </w:r>
    </w:p>
    <w:p w14:paraId="4A64086B">
      <w:pPr>
        <w:spacing w:line="240" w:lineRule="auto"/>
        <w:ind w:firstLine="640"/>
        <w:jc w:val="both"/>
      </w:pPr>
      <w:r>
        <w:rPr>
          <w:rFonts w:ascii="仿宋_GB2312" w:hAnsi="仿宋_GB2312" w:eastAsia="仿宋_GB2312"/>
          <w:b w:val="0"/>
          <w:sz w:val="32"/>
        </w:rPr>
        <w:t>四、《财政拨款收入支出决算总表》</w:t>
      </w:r>
    </w:p>
    <w:p w14:paraId="6F33670D">
      <w:pPr>
        <w:spacing w:line="240" w:lineRule="auto"/>
        <w:ind w:firstLine="640"/>
        <w:jc w:val="both"/>
      </w:pPr>
      <w:r>
        <w:rPr>
          <w:rFonts w:ascii="仿宋_GB2312" w:hAnsi="仿宋_GB2312" w:eastAsia="仿宋_GB2312"/>
          <w:b w:val="0"/>
          <w:sz w:val="32"/>
        </w:rPr>
        <w:t>五、《一般公共预算财政拨款支出决算表》</w:t>
      </w:r>
    </w:p>
    <w:p w14:paraId="7349CF89">
      <w:pPr>
        <w:spacing w:line="240" w:lineRule="auto"/>
        <w:ind w:firstLine="640"/>
        <w:jc w:val="both"/>
      </w:pPr>
      <w:r>
        <w:rPr>
          <w:rFonts w:ascii="仿宋_GB2312" w:hAnsi="仿宋_GB2312" w:eastAsia="仿宋_GB2312"/>
          <w:b w:val="0"/>
          <w:sz w:val="32"/>
        </w:rPr>
        <w:t>六、《一般公共预算财政拨款基本支出决算表》</w:t>
      </w:r>
    </w:p>
    <w:p w14:paraId="3D9C5CF9">
      <w:pPr>
        <w:spacing w:line="240" w:lineRule="auto"/>
        <w:ind w:firstLine="640"/>
        <w:jc w:val="both"/>
      </w:pPr>
      <w:r>
        <w:rPr>
          <w:rFonts w:ascii="仿宋_GB2312" w:hAnsi="仿宋_GB2312" w:eastAsia="仿宋_GB2312"/>
          <w:b w:val="0"/>
          <w:sz w:val="32"/>
        </w:rPr>
        <w:t>七、《政府性基金预算财政拨款收入支出决算表》</w:t>
      </w:r>
    </w:p>
    <w:p w14:paraId="01B32C52">
      <w:pPr>
        <w:spacing w:line="240" w:lineRule="auto"/>
        <w:ind w:firstLine="640"/>
        <w:jc w:val="both"/>
      </w:pPr>
      <w:r>
        <w:rPr>
          <w:rFonts w:ascii="仿宋_GB2312" w:hAnsi="仿宋_GB2312" w:eastAsia="仿宋_GB2312"/>
          <w:b w:val="0"/>
          <w:sz w:val="32"/>
        </w:rPr>
        <w:t>八、《国有资本经营预算财政拨款收入支出决算表》</w:t>
      </w:r>
    </w:p>
    <w:p w14:paraId="15469764">
      <w:pPr>
        <w:spacing w:line="240" w:lineRule="auto"/>
        <w:ind w:firstLine="640"/>
        <w:jc w:val="both"/>
      </w:pPr>
      <w:r>
        <w:rPr>
          <w:rFonts w:ascii="仿宋_GB2312" w:hAnsi="仿宋_GB2312" w:eastAsia="仿宋_GB2312"/>
          <w:b w:val="0"/>
          <w:sz w:val="32"/>
        </w:rPr>
        <w:t>九、《财政拨款“三公”经费支出决算表》</w:t>
      </w:r>
    </w:p>
    <w:p w14:paraId="60C0F9AE">
      <w:pPr>
        <w:spacing w:line="240" w:lineRule="auto"/>
        <w:ind w:firstLine="640"/>
        <w:jc w:val="both"/>
      </w:pPr>
    </w:p>
    <w:p w14:paraId="300F4784">
      <w:pPr>
        <w:spacing w:line="240" w:lineRule="auto"/>
        <w:ind w:firstLine="640"/>
        <w:jc w:val="both"/>
      </w:pPr>
    </w:p>
    <w:p w14:paraId="635D41D9">
      <w:pPr>
        <w:spacing w:line="240" w:lineRule="auto"/>
        <w:ind w:firstLine="640"/>
        <w:jc w:val="both"/>
      </w:pPr>
    </w:p>
    <w:p w14:paraId="26839A27">
      <w:pPr>
        <w:spacing w:line="240" w:lineRule="auto"/>
        <w:ind w:firstLine="640"/>
        <w:jc w:val="both"/>
      </w:pPr>
    </w:p>
    <w:p w14:paraId="06648F3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6356B6D"/>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AF15E99"/>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4695</Words>
  <Characters>5248</Characters>
  <Lines>0</Lines>
  <Paragraphs>0</Paragraphs>
  <TotalTime>3</TotalTime>
  <ScaleCrop>false</ScaleCrop>
  <LinksUpToDate>false</LinksUpToDate>
  <CharactersWithSpaces>5258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