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且末县行政服务中心2024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57E2B64C">
      <w:r>
        <w:br w:type="page"/>
      </w:r>
    </w:p>
    <w:p w14:paraId="1D7A450A">
      <w:pPr>
        <w:spacing w:line="640" w:lineRule="exact"/>
        <w:jc w:val="center"/>
        <w:outlineLvl w:val="1"/>
      </w:pPr>
      <w:r>
        <w:rPr>
          <w:rFonts w:ascii="黑体" w:hAnsi="黑体" w:eastAsia="黑体"/>
          <w:sz w:val="32"/>
        </w:rPr>
        <w:t>第一部分 单位概况</w:t>
      </w:r>
    </w:p>
    <w:p w14:paraId="7748B3D4">
      <w:pPr>
        <w:spacing w:line="640" w:lineRule="exact"/>
        <w:ind w:firstLine="640"/>
        <w:jc w:val="both"/>
        <w:outlineLvl w:val="2"/>
      </w:pPr>
      <w:r>
        <w:rPr>
          <w:rFonts w:ascii="黑体" w:hAnsi="黑体" w:eastAsia="黑体"/>
          <w:sz w:val="32"/>
        </w:rPr>
        <w:t>一、主要职能</w:t>
      </w:r>
    </w:p>
    <w:p w14:paraId="5084484F">
      <w:pPr>
        <w:spacing w:line="580" w:lineRule="exact"/>
        <w:ind w:firstLine="640"/>
        <w:jc w:val="both"/>
        <w:rPr>
          <w:rFonts w:hint="eastAsia" w:eastAsia="仿宋_GB2312"/>
          <w:lang w:eastAsia="zh-CN"/>
        </w:rPr>
      </w:pPr>
      <w:r>
        <w:rPr>
          <w:rFonts w:hint="eastAsia" w:ascii="仿宋_GB2312" w:hAnsi="仿宋_GB2312" w:eastAsia="仿宋_GB2312"/>
          <w:sz w:val="32"/>
          <w:lang w:eastAsia="zh-CN"/>
        </w:rPr>
        <w:t>1.</w:t>
      </w:r>
      <w:r>
        <w:rPr>
          <w:rFonts w:ascii="仿宋_GB2312" w:hAnsi="仿宋_GB2312" w:eastAsia="仿宋_GB2312"/>
          <w:sz w:val="32"/>
        </w:rPr>
        <w:t>督查办公室职责</w:t>
      </w:r>
      <w:r>
        <w:rPr>
          <w:rFonts w:hint="eastAsia" w:ascii="仿宋_GB2312" w:hAnsi="仿宋_GB2312" w:eastAsia="仿宋_GB2312"/>
          <w:sz w:val="32"/>
          <w:lang w:eastAsia="zh-CN"/>
        </w:rPr>
        <w:t>：</w:t>
      </w:r>
    </w:p>
    <w:p w14:paraId="51D07739">
      <w:pPr>
        <w:spacing w:line="580" w:lineRule="exact"/>
        <w:ind w:firstLine="640"/>
        <w:jc w:val="both"/>
      </w:pPr>
      <w:r>
        <w:rPr>
          <w:rFonts w:ascii="仿宋_GB2312" w:hAnsi="仿宋_GB2312" w:eastAsia="仿宋_GB2312"/>
          <w:sz w:val="32"/>
        </w:rPr>
        <w:t>（1）负责行政审批管理中心各窗口服务项目及办件的督察。</w:t>
      </w:r>
    </w:p>
    <w:p w14:paraId="0F6517FC">
      <w:pPr>
        <w:spacing w:line="580" w:lineRule="exact"/>
        <w:ind w:firstLine="640"/>
        <w:jc w:val="both"/>
      </w:pPr>
      <w:r>
        <w:rPr>
          <w:rFonts w:ascii="仿宋_GB2312" w:hAnsi="仿宋_GB2312" w:eastAsia="仿宋_GB2312"/>
          <w:sz w:val="32"/>
        </w:rPr>
        <w:t>（2）负责行政审批管理中心各窗口人员的考勤管理。</w:t>
      </w:r>
    </w:p>
    <w:p w14:paraId="36B01416">
      <w:pPr>
        <w:spacing w:line="580" w:lineRule="exact"/>
        <w:ind w:firstLine="640"/>
        <w:jc w:val="both"/>
      </w:pPr>
      <w:r>
        <w:rPr>
          <w:rFonts w:ascii="仿宋_GB2312" w:hAnsi="仿宋_GB2312" w:eastAsia="仿宋_GB2312"/>
          <w:sz w:val="32"/>
        </w:rPr>
        <w:t>（3）负责行政审批管理中心行政审批的管理与协调。</w:t>
      </w:r>
    </w:p>
    <w:p w14:paraId="29270A03">
      <w:pPr>
        <w:spacing w:line="580" w:lineRule="exact"/>
        <w:ind w:firstLine="640"/>
        <w:jc w:val="both"/>
      </w:pPr>
      <w:r>
        <w:rPr>
          <w:rFonts w:ascii="仿宋_GB2312" w:hAnsi="仿宋_GB2312" w:eastAsia="仿宋_GB2312"/>
          <w:sz w:val="32"/>
        </w:rPr>
        <w:t>（4）负责行政审批管理中心各窗口工作人员服务态度及质量的监督检查。</w:t>
      </w:r>
    </w:p>
    <w:p w14:paraId="2D4BFF58">
      <w:pPr>
        <w:spacing w:line="580" w:lineRule="exact"/>
        <w:ind w:firstLine="640"/>
        <w:jc w:val="both"/>
      </w:pPr>
      <w:r>
        <w:rPr>
          <w:rFonts w:ascii="仿宋_GB2312" w:hAnsi="仿宋_GB2312" w:eastAsia="仿宋_GB2312"/>
          <w:sz w:val="32"/>
        </w:rPr>
        <w:t>（5）负责行政审批（服务）事项“最多跑一次”督查与协调。</w:t>
      </w:r>
    </w:p>
    <w:p w14:paraId="606AA910">
      <w:pPr>
        <w:spacing w:line="580" w:lineRule="exact"/>
        <w:ind w:firstLine="640"/>
        <w:jc w:val="both"/>
      </w:pPr>
      <w:r>
        <w:rPr>
          <w:rFonts w:ascii="仿宋_GB2312" w:hAnsi="仿宋_GB2312" w:eastAsia="仿宋_GB2312"/>
          <w:sz w:val="32"/>
        </w:rPr>
        <w:t>（6）完成领导交办的其他工作。</w:t>
      </w:r>
    </w:p>
    <w:p w14:paraId="695897D3">
      <w:pPr>
        <w:spacing w:line="580" w:lineRule="exact"/>
        <w:ind w:firstLine="640"/>
        <w:jc w:val="both"/>
        <w:rPr>
          <w:rFonts w:hint="eastAsia" w:eastAsia="仿宋_GB2312"/>
          <w:lang w:eastAsia="zh-CN"/>
        </w:rPr>
      </w:pPr>
      <w:r>
        <w:rPr>
          <w:rFonts w:hint="eastAsia" w:ascii="仿宋_GB2312" w:hAnsi="仿宋_GB2312" w:eastAsia="仿宋_GB2312"/>
          <w:sz w:val="32"/>
          <w:lang w:eastAsia="zh-CN"/>
        </w:rPr>
        <w:t>2.</w:t>
      </w:r>
      <w:r>
        <w:rPr>
          <w:rFonts w:ascii="仿宋_GB2312" w:hAnsi="仿宋_GB2312" w:eastAsia="仿宋_GB2312"/>
          <w:sz w:val="32"/>
        </w:rPr>
        <w:t>政务服务一体化平台办公室职责</w:t>
      </w:r>
      <w:r>
        <w:rPr>
          <w:rFonts w:hint="eastAsia" w:ascii="仿宋_GB2312" w:hAnsi="仿宋_GB2312" w:eastAsia="仿宋_GB2312"/>
          <w:sz w:val="32"/>
          <w:lang w:eastAsia="zh-CN"/>
        </w:rPr>
        <w:t>：</w:t>
      </w:r>
    </w:p>
    <w:p w14:paraId="5DFF7685">
      <w:pPr>
        <w:spacing w:line="580" w:lineRule="exact"/>
        <w:ind w:firstLine="640"/>
        <w:jc w:val="both"/>
      </w:pPr>
      <w:r>
        <w:rPr>
          <w:rFonts w:ascii="仿宋_GB2312" w:hAnsi="仿宋_GB2312" w:eastAsia="仿宋_GB2312"/>
          <w:sz w:val="32"/>
        </w:rPr>
        <w:t>（1）负责政务服务一体化平台维护。</w:t>
      </w:r>
    </w:p>
    <w:p w14:paraId="061261DB">
      <w:pPr>
        <w:spacing w:line="580" w:lineRule="exact"/>
        <w:ind w:firstLine="640"/>
        <w:jc w:val="both"/>
      </w:pPr>
      <w:r>
        <w:rPr>
          <w:rFonts w:ascii="仿宋_GB2312" w:hAnsi="仿宋_GB2312" w:eastAsia="仿宋_GB2312"/>
          <w:sz w:val="32"/>
        </w:rPr>
        <w:t>（2）负责政务服务平台事项认领、发布、取消与协调。</w:t>
      </w:r>
    </w:p>
    <w:p w14:paraId="4CC50D07">
      <w:pPr>
        <w:spacing w:line="580" w:lineRule="exact"/>
        <w:ind w:firstLine="640"/>
        <w:jc w:val="both"/>
      </w:pPr>
      <w:r>
        <w:rPr>
          <w:rFonts w:ascii="仿宋_GB2312" w:hAnsi="仿宋_GB2312" w:eastAsia="仿宋_GB2312"/>
          <w:sz w:val="32"/>
        </w:rPr>
        <w:t>（3）负责网上办事监管、督办与协调。</w:t>
      </w:r>
    </w:p>
    <w:p w14:paraId="22B609AA">
      <w:pPr>
        <w:spacing w:line="580" w:lineRule="exact"/>
        <w:ind w:firstLine="640"/>
        <w:jc w:val="both"/>
      </w:pPr>
      <w:r>
        <w:rPr>
          <w:rFonts w:ascii="仿宋_GB2312" w:hAnsi="仿宋_GB2312" w:eastAsia="仿宋_GB2312"/>
          <w:sz w:val="32"/>
        </w:rPr>
        <w:t>（4）负责行政审批（服务）事项服务指南按照中华人民共和国国家标准GB/36114-2018《政务服务中心进驻事项服务指南编制规范》要求编制与协调。</w:t>
      </w:r>
    </w:p>
    <w:p w14:paraId="620414BC">
      <w:pPr>
        <w:spacing w:line="580" w:lineRule="exact"/>
        <w:ind w:firstLine="640"/>
        <w:jc w:val="both"/>
      </w:pPr>
      <w:r>
        <w:rPr>
          <w:rFonts w:ascii="仿宋_GB2312" w:hAnsi="仿宋_GB2312" w:eastAsia="仿宋_GB2312"/>
          <w:sz w:val="32"/>
        </w:rPr>
        <w:t>（5）负责行政审批（服务）事项向基层延伸与协调。</w:t>
      </w:r>
    </w:p>
    <w:p w14:paraId="39CCE0AC">
      <w:pPr>
        <w:spacing w:line="580" w:lineRule="exact"/>
        <w:ind w:firstLine="640"/>
        <w:jc w:val="both"/>
      </w:pPr>
      <w:r>
        <w:rPr>
          <w:rFonts w:ascii="仿宋_GB2312" w:hAnsi="仿宋_GB2312" w:eastAsia="仿宋_GB2312"/>
          <w:sz w:val="32"/>
        </w:rPr>
        <w:t>（6）负责行政审批（服务）事项“最多跑一次”梳理、发布与协调。</w:t>
      </w:r>
    </w:p>
    <w:p w14:paraId="7D6EE1D4">
      <w:pPr>
        <w:spacing w:line="580" w:lineRule="exact"/>
        <w:ind w:firstLine="640"/>
        <w:jc w:val="both"/>
      </w:pPr>
      <w:r>
        <w:rPr>
          <w:rFonts w:ascii="仿宋_GB2312" w:hAnsi="仿宋_GB2312" w:eastAsia="仿宋_GB2312"/>
          <w:sz w:val="32"/>
        </w:rPr>
        <w:t>（7）负责审批服务标准化与协调。</w:t>
      </w:r>
    </w:p>
    <w:p w14:paraId="1DA9B891">
      <w:pPr>
        <w:spacing w:line="580" w:lineRule="exact"/>
        <w:ind w:firstLine="640"/>
        <w:jc w:val="both"/>
      </w:pPr>
      <w:r>
        <w:rPr>
          <w:rFonts w:ascii="仿宋_GB2312" w:hAnsi="仿宋_GB2312" w:eastAsia="仿宋_GB2312"/>
          <w:sz w:val="32"/>
        </w:rPr>
        <w:t>（8）负责电子证照事项的认领、运用与协调。</w:t>
      </w:r>
    </w:p>
    <w:p w14:paraId="6856942B">
      <w:pPr>
        <w:spacing w:line="580" w:lineRule="exact"/>
        <w:ind w:firstLine="640"/>
        <w:jc w:val="both"/>
      </w:pPr>
      <w:r>
        <w:rPr>
          <w:rFonts w:ascii="仿宋_GB2312" w:hAnsi="仿宋_GB2312" w:eastAsia="仿宋_GB2312"/>
          <w:sz w:val="32"/>
        </w:rPr>
        <w:t>（9）完成领导交办的其他工作。</w:t>
      </w:r>
    </w:p>
    <w:p w14:paraId="1A200FD7">
      <w:pPr>
        <w:spacing w:line="580" w:lineRule="exact"/>
        <w:ind w:firstLine="640"/>
        <w:jc w:val="both"/>
        <w:rPr>
          <w:rFonts w:hint="eastAsia" w:eastAsia="仿宋_GB2312"/>
          <w:lang w:eastAsia="zh-CN"/>
        </w:rPr>
      </w:pPr>
      <w:r>
        <w:rPr>
          <w:rFonts w:hint="eastAsia" w:ascii="仿宋_GB2312" w:hAnsi="仿宋_GB2312" w:eastAsia="仿宋_GB2312"/>
          <w:sz w:val="32"/>
          <w:lang w:eastAsia="zh-CN"/>
        </w:rPr>
        <w:t>3.</w:t>
      </w:r>
      <w:r>
        <w:rPr>
          <w:rFonts w:ascii="仿宋_GB2312" w:hAnsi="仿宋_GB2312" w:eastAsia="仿宋_GB2312"/>
          <w:sz w:val="32"/>
        </w:rPr>
        <w:t>12345政务热线中心职责</w:t>
      </w:r>
      <w:r>
        <w:rPr>
          <w:rFonts w:hint="eastAsia" w:ascii="仿宋_GB2312" w:hAnsi="仿宋_GB2312" w:eastAsia="仿宋_GB2312"/>
          <w:sz w:val="32"/>
          <w:lang w:eastAsia="zh-CN"/>
        </w:rPr>
        <w:t>：</w:t>
      </w:r>
    </w:p>
    <w:p w14:paraId="2EA169B7">
      <w:pPr>
        <w:spacing w:line="580" w:lineRule="exact"/>
        <w:ind w:firstLine="640"/>
        <w:jc w:val="both"/>
      </w:pPr>
      <w:r>
        <w:rPr>
          <w:rFonts w:ascii="仿宋_GB2312" w:hAnsi="仿宋_GB2312" w:eastAsia="仿宋_GB2312"/>
          <w:sz w:val="32"/>
        </w:rPr>
        <w:t>（1）负责对且末县12345在线运行管理和受理、告知、呈批、办理、答复、审结归档、保密、考核、问责等各项规章制度制定。</w:t>
      </w:r>
    </w:p>
    <w:p w14:paraId="2664C7D1">
      <w:pPr>
        <w:spacing w:line="580" w:lineRule="exact"/>
        <w:ind w:firstLine="640"/>
        <w:jc w:val="both"/>
      </w:pPr>
      <w:r>
        <w:rPr>
          <w:rFonts w:ascii="仿宋_GB2312" w:hAnsi="仿宋_GB2312" w:eastAsia="仿宋_GB2312"/>
          <w:sz w:val="32"/>
        </w:rPr>
        <w:t>（2）负责12345在线的三方通话及工单签收、办理、反馈。</w:t>
      </w:r>
    </w:p>
    <w:p w14:paraId="5E746736">
      <w:pPr>
        <w:spacing w:line="580" w:lineRule="exact"/>
        <w:ind w:firstLine="640"/>
        <w:jc w:val="both"/>
      </w:pPr>
      <w:r>
        <w:rPr>
          <w:rFonts w:ascii="仿宋_GB2312" w:hAnsi="仿宋_GB2312" w:eastAsia="仿宋_GB2312"/>
          <w:sz w:val="32"/>
        </w:rPr>
        <w:t>（3）负责建立协同会办机制，协调跨部门、跨层次的办件处理并监督办理，明确主办部门和协办部门，并将办理结果反馈给巴州12345在线。</w:t>
      </w:r>
    </w:p>
    <w:p w14:paraId="50F21F4F">
      <w:pPr>
        <w:spacing w:line="580" w:lineRule="exact"/>
        <w:ind w:firstLine="640"/>
        <w:jc w:val="both"/>
      </w:pPr>
      <w:r>
        <w:rPr>
          <w:rFonts w:ascii="仿宋_GB2312" w:hAnsi="仿宋_GB2312" w:eastAsia="仿宋_GB2312"/>
          <w:sz w:val="32"/>
        </w:rPr>
        <w:t>（4）负责对各成员单位绩效考核和公用事业性质企业评价的具体实施。</w:t>
      </w:r>
    </w:p>
    <w:p w14:paraId="249A3260">
      <w:pPr>
        <w:spacing w:line="580" w:lineRule="exact"/>
        <w:ind w:firstLine="640"/>
        <w:jc w:val="both"/>
      </w:pPr>
      <w:r>
        <w:rPr>
          <w:rFonts w:ascii="仿宋_GB2312" w:hAnsi="仿宋_GB2312" w:eastAsia="仿宋_GB2312"/>
          <w:sz w:val="32"/>
        </w:rPr>
        <w:t>（5）负责且末县12345在线应急制度的响应及处理。</w:t>
      </w:r>
    </w:p>
    <w:p w14:paraId="43C6EE1C">
      <w:pPr>
        <w:spacing w:line="580" w:lineRule="exact"/>
        <w:ind w:firstLine="640"/>
        <w:jc w:val="both"/>
      </w:pPr>
      <w:r>
        <w:rPr>
          <w:rFonts w:ascii="仿宋_GB2312" w:hAnsi="仿宋_GB2312" w:eastAsia="仿宋_GB2312"/>
          <w:sz w:val="32"/>
        </w:rPr>
        <w:t>（6）承担12345在线相关的其他工作任务，负责知识库维护、数据管理。</w:t>
      </w:r>
    </w:p>
    <w:p w14:paraId="1636EE62">
      <w:pPr>
        <w:spacing w:line="580" w:lineRule="exact"/>
        <w:ind w:firstLine="640"/>
        <w:jc w:val="both"/>
      </w:pPr>
      <w:r>
        <w:rPr>
          <w:rFonts w:ascii="仿宋_GB2312" w:hAnsi="仿宋_GB2312" w:eastAsia="仿宋_GB2312"/>
          <w:sz w:val="32"/>
        </w:rPr>
        <w:t>（7）定期对办件情况进行汇总分析反馈给巴州12345在线。</w:t>
      </w:r>
    </w:p>
    <w:p w14:paraId="3E4DF00A">
      <w:pPr>
        <w:spacing w:line="580" w:lineRule="exact"/>
        <w:ind w:firstLine="640"/>
        <w:jc w:val="both"/>
      </w:pPr>
      <w:r>
        <w:rPr>
          <w:rFonts w:ascii="仿宋_GB2312" w:hAnsi="仿宋_GB2312" w:eastAsia="仿宋_GB2312"/>
          <w:sz w:val="32"/>
        </w:rPr>
        <w:t>（8）定期安排部门轮值日，负责响应巴州12345在线应急机制。</w:t>
      </w:r>
    </w:p>
    <w:p w14:paraId="0D6618A0">
      <w:pPr>
        <w:spacing w:line="580" w:lineRule="exact"/>
        <w:ind w:firstLine="640"/>
        <w:jc w:val="both"/>
      </w:pPr>
      <w:r>
        <w:rPr>
          <w:rFonts w:ascii="仿宋_GB2312" w:hAnsi="仿宋_GB2312" w:eastAsia="仿宋_GB2312"/>
          <w:sz w:val="32"/>
        </w:rPr>
        <w:t>（9）完成领导交办的其他工作。</w:t>
      </w:r>
    </w:p>
    <w:p w14:paraId="6470A558">
      <w:pPr>
        <w:spacing w:line="640" w:lineRule="exact"/>
        <w:ind w:firstLine="640"/>
        <w:jc w:val="both"/>
        <w:outlineLvl w:val="2"/>
      </w:pPr>
      <w:r>
        <w:rPr>
          <w:rFonts w:ascii="黑体" w:hAnsi="黑体" w:eastAsia="黑体"/>
          <w:sz w:val="32"/>
        </w:rPr>
        <w:t>二、机构设置及人员情况</w:t>
      </w:r>
    </w:p>
    <w:p w14:paraId="539FC50E">
      <w:pPr>
        <w:spacing w:line="580" w:lineRule="exact"/>
        <w:ind w:firstLine="640"/>
        <w:jc w:val="both"/>
      </w:pPr>
      <w:r>
        <w:rPr>
          <w:rFonts w:ascii="仿宋_GB2312" w:hAnsi="仿宋_GB2312" w:eastAsia="仿宋_GB2312"/>
          <w:sz w:val="32"/>
        </w:rPr>
        <w:t>且末县行政服务中心2024年度，实有人数10人，其中：在职人员6人，减少2人；离休人员0人，增加0人；退休人员4人</w:t>
      </w:r>
      <w:bookmarkStart w:id="0" w:name="_GoBack"/>
      <w:r>
        <w:rPr>
          <w:rFonts w:ascii="仿宋_GB2312" w:hAnsi="仿宋_GB2312" w:eastAsia="仿宋_GB2312"/>
          <w:sz w:val="32"/>
        </w:rPr>
        <w:t>,</w:t>
      </w:r>
      <w:bookmarkEnd w:id="0"/>
      <w:r>
        <w:rPr>
          <w:rFonts w:ascii="仿宋_GB2312" w:hAnsi="仿宋_GB2312" w:eastAsia="仿宋_GB2312"/>
          <w:sz w:val="32"/>
        </w:rPr>
        <w:t>增加1人。</w:t>
      </w:r>
    </w:p>
    <w:p w14:paraId="3FB5E9D2">
      <w:pPr>
        <w:spacing w:line="580" w:lineRule="exact"/>
        <w:ind w:firstLine="640"/>
        <w:jc w:val="both"/>
      </w:pPr>
      <w:r>
        <w:rPr>
          <w:rFonts w:ascii="仿宋_GB2312" w:hAnsi="仿宋_GB2312" w:eastAsia="仿宋_GB2312"/>
          <w:sz w:val="32"/>
        </w:rPr>
        <w:t>且末县行政服务中心无下属预算单位，下设3个科室，分别是：行政办公室、督查办公室、政务服务一体化平台办公室。</w:t>
      </w:r>
    </w:p>
    <w:p w14:paraId="0149D4C0">
      <w:r>
        <w:br w:type="page"/>
      </w:r>
    </w:p>
    <w:p w14:paraId="432EF151">
      <w:pPr>
        <w:spacing w:line="240" w:lineRule="auto"/>
        <w:jc w:val="center"/>
        <w:outlineLvl w:val="1"/>
      </w:pPr>
      <w:r>
        <w:rPr>
          <w:rFonts w:ascii="黑体" w:hAnsi="黑体" w:eastAsia="黑体"/>
          <w:sz w:val="32"/>
        </w:rPr>
        <w:t>第二部分 部门决算情况说明</w:t>
      </w:r>
    </w:p>
    <w:p w14:paraId="72198677">
      <w:pPr>
        <w:spacing w:line="640" w:lineRule="exact"/>
        <w:ind w:firstLine="640"/>
        <w:jc w:val="both"/>
        <w:outlineLvl w:val="2"/>
      </w:pPr>
      <w:r>
        <w:rPr>
          <w:rFonts w:ascii="黑体" w:hAnsi="黑体" w:eastAsia="黑体"/>
          <w:sz w:val="32"/>
        </w:rPr>
        <w:t>一、收入支出决算总体情况说明</w:t>
      </w:r>
    </w:p>
    <w:p w14:paraId="116D5FA7">
      <w:pPr>
        <w:spacing w:line="580" w:lineRule="exact"/>
        <w:ind w:firstLine="640"/>
        <w:jc w:val="both"/>
      </w:pPr>
      <w:r>
        <w:rPr>
          <w:rFonts w:ascii="仿宋_GB2312" w:hAnsi="仿宋_GB2312" w:eastAsia="仿宋_GB2312"/>
          <w:b/>
          <w:sz w:val="32"/>
        </w:rPr>
        <w:t>2024年度收入总计154.80万元，</w:t>
      </w:r>
      <w:r>
        <w:rPr>
          <w:rFonts w:ascii="仿宋_GB2312" w:hAnsi="仿宋_GB2312" w:eastAsia="仿宋_GB2312"/>
          <w:b w:val="0"/>
          <w:sz w:val="32"/>
        </w:rPr>
        <w:t>其中：本年收入合计154.80万元，使用非财政拨款结余（含专用结余）0.00万元，年初结转和结余0.00万元。</w:t>
      </w:r>
    </w:p>
    <w:p w14:paraId="17CF5F69">
      <w:pPr>
        <w:spacing w:line="580" w:lineRule="exact"/>
        <w:ind w:firstLine="640"/>
        <w:jc w:val="both"/>
      </w:pPr>
      <w:r>
        <w:rPr>
          <w:rFonts w:ascii="仿宋_GB2312" w:hAnsi="仿宋_GB2312" w:eastAsia="仿宋_GB2312"/>
          <w:b/>
          <w:sz w:val="32"/>
        </w:rPr>
        <w:t>2024年度支出总计154.80万元，</w:t>
      </w:r>
      <w:r>
        <w:rPr>
          <w:rFonts w:ascii="仿宋_GB2312" w:hAnsi="仿宋_GB2312" w:eastAsia="仿宋_GB2312"/>
          <w:b w:val="0"/>
          <w:sz w:val="32"/>
        </w:rPr>
        <w:t>其中：本年支出合计154.80万元，结余分配0.00万元，年末结转和结余0.00万元。</w:t>
      </w:r>
    </w:p>
    <w:p w14:paraId="319F96D8">
      <w:pPr>
        <w:spacing w:line="580" w:lineRule="exact"/>
        <w:ind w:firstLine="640"/>
        <w:jc w:val="both"/>
      </w:pPr>
      <w:r>
        <w:rPr>
          <w:rFonts w:ascii="仿宋_GB2312" w:hAnsi="仿宋_GB2312" w:eastAsia="仿宋_GB2312"/>
          <w:b w:val="0"/>
          <w:sz w:val="32"/>
        </w:rPr>
        <w:t>收入支出总体与上年相比，减少32.43万元，下降17.32%，主要原因是：本年在职人员减少，相关人员经费较上年减少。</w:t>
      </w:r>
    </w:p>
    <w:p w14:paraId="60947414">
      <w:pPr>
        <w:spacing w:line="640" w:lineRule="exact"/>
        <w:ind w:firstLine="640"/>
        <w:jc w:val="both"/>
        <w:outlineLvl w:val="2"/>
      </w:pPr>
      <w:r>
        <w:rPr>
          <w:rFonts w:ascii="黑体" w:hAnsi="黑体" w:eastAsia="黑体"/>
          <w:sz w:val="32"/>
        </w:rPr>
        <w:t>二、收入决算情况说明</w:t>
      </w:r>
    </w:p>
    <w:p w14:paraId="6873A9C5">
      <w:pPr>
        <w:spacing w:line="580" w:lineRule="exact"/>
        <w:ind w:firstLine="640"/>
        <w:jc w:val="both"/>
      </w:pPr>
      <w:r>
        <w:rPr>
          <w:rFonts w:ascii="仿宋_GB2312" w:hAnsi="仿宋_GB2312" w:eastAsia="仿宋_GB2312"/>
          <w:b/>
          <w:sz w:val="32"/>
        </w:rPr>
        <w:t>本年收入154.80万元，</w:t>
      </w:r>
      <w:r>
        <w:rPr>
          <w:rFonts w:ascii="仿宋_GB2312" w:hAnsi="仿宋_GB2312" w:eastAsia="仿宋_GB2312"/>
          <w:b w:val="0"/>
          <w:sz w:val="32"/>
        </w:rPr>
        <w:t>其中：财政拨款收入154.80万元，占100.00%；上级补助收入0.00万元，占0.00%；事业收入0.00万元，占0.00%；经营收入0.00万元，占0.00%；附属单位上缴收入0.00万元，占0.00%；其他收入0.00万元，占0.00%。</w:t>
      </w:r>
    </w:p>
    <w:p w14:paraId="27556A64">
      <w:pPr>
        <w:spacing w:line="640" w:lineRule="exact"/>
        <w:ind w:firstLine="640"/>
        <w:jc w:val="both"/>
        <w:outlineLvl w:val="2"/>
      </w:pPr>
      <w:r>
        <w:rPr>
          <w:rFonts w:ascii="黑体" w:hAnsi="黑体" w:eastAsia="黑体"/>
          <w:sz w:val="32"/>
        </w:rPr>
        <w:t>三、支出决算情况说明</w:t>
      </w:r>
    </w:p>
    <w:p w14:paraId="681ACEBE">
      <w:pPr>
        <w:spacing w:line="580" w:lineRule="exact"/>
        <w:ind w:firstLine="640"/>
        <w:jc w:val="both"/>
      </w:pPr>
      <w:r>
        <w:rPr>
          <w:rFonts w:ascii="仿宋_GB2312" w:hAnsi="仿宋_GB2312" w:eastAsia="仿宋_GB2312"/>
          <w:b/>
          <w:sz w:val="32"/>
        </w:rPr>
        <w:t>本年支出154.80万元，</w:t>
      </w:r>
      <w:r>
        <w:rPr>
          <w:rFonts w:ascii="仿宋_GB2312" w:hAnsi="仿宋_GB2312" w:eastAsia="仿宋_GB2312"/>
          <w:b w:val="0"/>
          <w:sz w:val="32"/>
        </w:rPr>
        <w:t>其中：基本支出154.80万元，占100.00%；项目支出0.00万元，占0.00%；上缴上级支出0.00万元，占0.00%；经营支出0.00万元，占0.00%；对附属单位补助支出0.00万元，占0.00%。</w:t>
      </w:r>
    </w:p>
    <w:p w14:paraId="4504C8A0">
      <w:pPr>
        <w:spacing w:line="640" w:lineRule="exact"/>
        <w:ind w:firstLine="640"/>
        <w:jc w:val="both"/>
        <w:outlineLvl w:val="2"/>
      </w:pPr>
      <w:r>
        <w:rPr>
          <w:rFonts w:ascii="黑体" w:hAnsi="黑体" w:eastAsia="黑体"/>
          <w:sz w:val="32"/>
        </w:rPr>
        <w:t>四、财政拨款收入支出决算总体情况说明</w:t>
      </w:r>
    </w:p>
    <w:p w14:paraId="4F0D080F">
      <w:pPr>
        <w:spacing w:line="580" w:lineRule="exact"/>
        <w:ind w:firstLine="640"/>
        <w:jc w:val="both"/>
      </w:pPr>
      <w:r>
        <w:rPr>
          <w:rFonts w:ascii="仿宋_GB2312" w:hAnsi="仿宋_GB2312" w:eastAsia="仿宋_GB2312"/>
          <w:b/>
          <w:sz w:val="32"/>
        </w:rPr>
        <w:t>2024年度财政拨款收入总计154.80万元，</w:t>
      </w:r>
      <w:r>
        <w:rPr>
          <w:rFonts w:ascii="仿宋_GB2312" w:hAnsi="仿宋_GB2312" w:eastAsia="仿宋_GB2312"/>
          <w:b w:val="0"/>
          <w:sz w:val="32"/>
        </w:rPr>
        <w:t>其中：年初财政拨款结转和结余0.00万元，本年财政拨款收入154.80万元。</w:t>
      </w:r>
      <w:r>
        <w:rPr>
          <w:rFonts w:ascii="仿宋_GB2312" w:hAnsi="仿宋_GB2312" w:eastAsia="仿宋_GB2312"/>
          <w:b/>
          <w:sz w:val="32"/>
        </w:rPr>
        <w:t>财政拨款支出总计154.80万元，</w:t>
      </w:r>
      <w:r>
        <w:rPr>
          <w:rFonts w:ascii="仿宋_GB2312" w:hAnsi="仿宋_GB2312" w:eastAsia="仿宋_GB2312"/>
          <w:b w:val="0"/>
          <w:sz w:val="32"/>
        </w:rPr>
        <w:t>其中：年末财政拨款结转和结余0.00万元，本年财政拨款支出154.80万元。</w:t>
      </w:r>
    </w:p>
    <w:p w14:paraId="78E086B7">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减少32.43万元，下降17.32%，主要原因是：本年在职人员减少，相关人员经费较上年减少。</w:t>
      </w:r>
      <w:r>
        <w:rPr>
          <w:rFonts w:ascii="仿宋_GB2312" w:hAnsi="仿宋_GB2312" w:eastAsia="仿宋_GB2312"/>
          <w:b/>
          <w:sz w:val="32"/>
        </w:rPr>
        <w:t>与年初预算相比，</w:t>
      </w:r>
      <w:r>
        <w:rPr>
          <w:rFonts w:ascii="仿宋_GB2312" w:hAnsi="仿宋_GB2312" w:eastAsia="仿宋_GB2312"/>
          <w:b w:val="0"/>
          <w:sz w:val="32"/>
        </w:rPr>
        <w:t>年初预算数154.12万元，决算数154.80万元，预决算差异率0.44%，主要原因是：年中追加人员工资、社保、公积金基数调增部分资金，导致预决算存在差异。</w:t>
      </w:r>
    </w:p>
    <w:p w14:paraId="43859C82">
      <w:pPr>
        <w:spacing w:line="640" w:lineRule="exact"/>
        <w:ind w:firstLine="640"/>
        <w:jc w:val="both"/>
        <w:outlineLvl w:val="2"/>
      </w:pPr>
      <w:r>
        <w:rPr>
          <w:rFonts w:ascii="黑体" w:hAnsi="黑体" w:eastAsia="黑体"/>
          <w:sz w:val="32"/>
        </w:rPr>
        <w:t>五、一般公共预算财政拨款支出决算情况说明</w:t>
      </w:r>
    </w:p>
    <w:p w14:paraId="04061F05">
      <w:pPr>
        <w:spacing w:line="640" w:lineRule="exact"/>
        <w:ind w:firstLine="640"/>
        <w:jc w:val="both"/>
        <w:outlineLvl w:val="3"/>
      </w:pPr>
      <w:r>
        <w:rPr>
          <w:rFonts w:ascii="楷体_GB2312" w:hAnsi="楷体_GB2312" w:eastAsia="楷体_GB2312"/>
          <w:b/>
          <w:sz w:val="32"/>
        </w:rPr>
        <w:t>（一）一般公共预算财政拨款支出决算总体情况</w:t>
      </w:r>
    </w:p>
    <w:p w14:paraId="05043229">
      <w:pPr>
        <w:spacing w:line="580" w:lineRule="exact"/>
        <w:ind w:firstLine="640"/>
        <w:jc w:val="both"/>
      </w:pPr>
      <w:r>
        <w:rPr>
          <w:rFonts w:ascii="仿宋_GB2312" w:hAnsi="仿宋_GB2312" w:eastAsia="仿宋_GB2312"/>
          <w:b/>
          <w:sz w:val="32"/>
        </w:rPr>
        <w:t>2024年度一般公共预算财政拨款支出154.80万元，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减少32.43万元，下降17.32%，主要原因是：本年在职人员减少，相关人员经费较上年减少。</w:t>
      </w:r>
      <w:r>
        <w:rPr>
          <w:rFonts w:ascii="仿宋_GB2312" w:hAnsi="仿宋_GB2312" w:eastAsia="仿宋_GB2312"/>
          <w:b/>
          <w:sz w:val="32"/>
        </w:rPr>
        <w:t>与年初预算相比,</w:t>
      </w:r>
      <w:r>
        <w:rPr>
          <w:rFonts w:ascii="仿宋_GB2312" w:hAnsi="仿宋_GB2312" w:eastAsia="仿宋_GB2312"/>
          <w:b w:val="0"/>
          <w:sz w:val="32"/>
        </w:rPr>
        <w:t>年初预算数154.12万元，决算数154.80万元，预决算差异率0.44%，主要原因是：年中追加人员工资、社保、公积金基数调增部分资金，导致预决算存在差异。</w:t>
      </w:r>
    </w:p>
    <w:p w14:paraId="5143B3D3">
      <w:pPr>
        <w:spacing w:line="640" w:lineRule="exact"/>
        <w:ind w:firstLine="640"/>
        <w:jc w:val="both"/>
        <w:outlineLvl w:val="3"/>
      </w:pPr>
      <w:r>
        <w:rPr>
          <w:rFonts w:ascii="楷体_GB2312" w:hAnsi="楷体_GB2312" w:eastAsia="楷体_GB2312"/>
          <w:b/>
          <w:sz w:val="32"/>
        </w:rPr>
        <w:t>（二）一般公共预算财政拨款支出决算结构情况</w:t>
      </w:r>
    </w:p>
    <w:p w14:paraId="323E4084">
      <w:pPr>
        <w:spacing w:line="580" w:lineRule="exact"/>
        <w:ind w:firstLine="640"/>
        <w:jc w:val="both"/>
      </w:pPr>
      <w:r>
        <w:rPr>
          <w:rFonts w:ascii="仿宋_GB2312" w:hAnsi="仿宋_GB2312" w:eastAsia="仿宋_GB2312"/>
          <w:b w:val="0"/>
          <w:sz w:val="32"/>
        </w:rPr>
        <w:t>1.一般公共服务支出(类)112.59万元,占72.73%。</w:t>
      </w:r>
    </w:p>
    <w:p w14:paraId="16B05548">
      <w:pPr>
        <w:spacing w:line="580" w:lineRule="exact"/>
        <w:ind w:firstLine="640"/>
        <w:jc w:val="both"/>
      </w:pPr>
      <w:r>
        <w:rPr>
          <w:rFonts w:ascii="仿宋_GB2312" w:hAnsi="仿宋_GB2312" w:eastAsia="仿宋_GB2312"/>
          <w:b w:val="0"/>
          <w:sz w:val="32"/>
        </w:rPr>
        <w:t>2.社会保障和就业支出(类)24.34万元,占15.72%。</w:t>
      </w:r>
    </w:p>
    <w:p w14:paraId="3A2FE125">
      <w:pPr>
        <w:spacing w:line="580" w:lineRule="exact"/>
        <w:ind w:firstLine="640"/>
        <w:jc w:val="both"/>
      </w:pPr>
      <w:r>
        <w:rPr>
          <w:rFonts w:ascii="仿宋_GB2312" w:hAnsi="仿宋_GB2312" w:eastAsia="仿宋_GB2312"/>
          <w:b w:val="0"/>
          <w:sz w:val="32"/>
        </w:rPr>
        <w:t>3.卫生健康支出(类)6.41万元,占4.14%。</w:t>
      </w:r>
    </w:p>
    <w:p w14:paraId="01842344">
      <w:pPr>
        <w:spacing w:line="580" w:lineRule="exact"/>
        <w:ind w:firstLine="640"/>
        <w:jc w:val="both"/>
      </w:pPr>
      <w:r>
        <w:rPr>
          <w:rFonts w:ascii="仿宋_GB2312" w:hAnsi="仿宋_GB2312" w:eastAsia="仿宋_GB2312"/>
          <w:b w:val="0"/>
          <w:sz w:val="32"/>
        </w:rPr>
        <w:t>4.住房保障支出(类)11.46万元,占7.40%。</w:t>
      </w:r>
    </w:p>
    <w:p w14:paraId="0A1A8803">
      <w:pPr>
        <w:spacing w:line="640" w:lineRule="exact"/>
        <w:ind w:firstLine="640"/>
        <w:jc w:val="both"/>
        <w:outlineLvl w:val="3"/>
      </w:pPr>
      <w:r>
        <w:rPr>
          <w:rFonts w:ascii="楷体_GB2312" w:hAnsi="楷体_GB2312" w:eastAsia="楷体_GB2312"/>
          <w:b/>
          <w:sz w:val="32"/>
        </w:rPr>
        <w:t>（三）一般公共预算财政拨款支出决算具体情况</w:t>
      </w:r>
    </w:p>
    <w:p w14:paraId="735F8AAB">
      <w:pPr>
        <w:spacing w:line="580" w:lineRule="exact"/>
        <w:ind w:firstLine="640"/>
        <w:jc w:val="both"/>
      </w:pPr>
      <w:r>
        <w:rPr>
          <w:rFonts w:ascii="仿宋_GB2312" w:hAnsi="仿宋_GB2312" w:eastAsia="仿宋_GB2312"/>
          <w:b w:val="0"/>
          <w:sz w:val="32"/>
        </w:rPr>
        <w:t>1.一般公共服务支出(类)政府办公厅（室）及相关机构事务(款)事业运行(项):支出决算数为112.59万元，比上年决算减少38.98万元，下降25.72%,主要原因是：本年在职人员减少，相应人员经费较上年减少。</w:t>
      </w:r>
    </w:p>
    <w:p w14:paraId="192E4E91">
      <w:pPr>
        <w:spacing w:line="580" w:lineRule="exact"/>
        <w:ind w:firstLine="640"/>
        <w:jc w:val="both"/>
      </w:pPr>
      <w:r>
        <w:rPr>
          <w:rFonts w:ascii="仿宋_GB2312" w:hAnsi="仿宋_GB2312" w:eastAsia="仿宋_GB2312"/>
          <w:b w:val="0"/>
          <w:sz w:val="32"/>
        </w:rPr>
        <w:t>2.社会保障和就业支出(类)行政事业单位养老支出(款)行政单位离退休(项):支出决算数为0.00万元，比上年决算减少0.54万元，下降100.00%,主要原因是：</w:t>
      </w:r>
      <w:r>
        <w:rPr>
          <w:rFonts w:hint="eastAsia" w:ascii="仿宋_GB2312" w:hAnsi="仿宋_GB2312" w:eastAsia="仿宋_GB2312"/>
          <w:b w:val="0"/>
          <w:sz w:val="32"/>
          <w:lang w:val="en-US" w:eastAsia="zh-CN"/>
        </w:rPr>
        <w:t>本年</w:t>
      </w:r>
      <w:r>
        <w:rPr>
          <w:rFonts w:ascii="仿宋_GB2312" w:hAnsi="仿宋_GB2312" w:eastAsia="仿宋_GB2312"/>
          <w:b w:val="0"/>
          <w:sz w:val="32"/>
        </w:rPr>
        <w:t>科目调整，退休人员经费调整至事业单位离退休科目。</w:t>
      </w:r>
    </w:p>
    <w:p w14:paraId="7E94ECC0">
      <w:pPr>
        <w:spacing w:line="580" w:lineRule="exact"/>
        <w:ind w:firstLine="640"/>
        <w:jc w:val="both"/>
      </w:pPr>
      <w:r>
        <w:rPr>
          <w:rFonts w:ascii="仿宋_GB2312" w:hAnsi="仿宋_GB2312" w:eastAsia="仿宋_GB2312"/>
          <w:b w:val="0"/>
          <w:sz w:val="32"/>
        </w:rPr>
        <w:t>3.社会保障和就业支出(类)行政事业单位养老支出(款)事业单位离退休(项):支出决算数为2.05万元，比上年决算增加2.05万元，增长100.00%,主要原因是：本年退休人员经费从行政单位离退休调整至本科目，退休费支出增加。</w:t>
      </w:r>
    </w:p>
    <w:p w14:paraId="34C9F768">
      <w:pPr>
        <w:spacing w:line="580" w:lineRule="exact"/>
        <w:ind w:firstLine="640"/>
        <w:jc w:val="both"/>
      </w:pPr>
      <w:r>
        <w:rPr>
          <w:rFonts w:ascii="仿宋_GB2312" w:hAnsi="仿宋_GB2312" w:eastAsia="仿宋_GB2312"/>
          <w:b w:val="0"/>
          <w:sz w:val="32"/>
        </w:rPr>
        <w:t>4.社会保障和就业支出(类)行政事业单位养老支出(款)机关事业单位基本养老保险缴费支出(项):支出决算数为14.19万元，比上年决算减少0.10万元，下降0.70%,主要原因是：本年在职人员减少，单位基本养老保险缴费较上年减少。</w:t>
      </w:r>
    </w:p>
    <w:p w14:paraId="59E8359A">
      <w:pPr>
        <w:spacing w:line="580" w:lineRule="exact"/>
        <w:ind w:firstLine="640"/>
        <w:jc w:val="both"/>
      </w:pPr>
      <w:r>
        <w:rPr>
          <w:rFonts w:ascii="仿宋_GB2312" w:hAnsi="仿宋_GB2312" w:eastAsia="仿宋_GB2312"/>
          <w:b w:val="0"/>
          <w:sz w:val="32"/>
        </w:rPr>
        <w:t>5.社会保障和就业支出(类)行政事业单位养老支出(款)机关事业单位职业年金缴费支出(项):支出决算数为8.10万元，比上年决算增加4.78万元，增长143.98%,主要原因是：本年新增退休人员职级较高，职业年金缴费支出增加。</w:t>
      </w:r>
    </w:p>
    <w:p w14:paraId="4F86472B">
      <w:pPr>
        <w:spacing w:line="580" w:lineRule="exact"/>
        <w:ind w:firstLine="640"/>
        <w:jc w:val="both"/>
      </w:pPr>
      <w:r>
        <w:rPr>
          <w:rFonts w:ascii="仿宋_GB2312" w:hAnsi="仿宋_GB2312" w:eastAsia="仿宋_GB2312"/>
          <w:b w:val="0"/>
          <w:sz w:val="32"/>
        </w:rPr>
        <w:t>6.卫生健康支出(类)行政事业单位医疗(款)事业单位医疗(项):支出决算数为6.41万元，比上年决算减少0.02万元，下降0.31%,主要原因是：本年在职人员减少，事业单位医疗较上年减少。</w:t>
      </w:r>
    </w:p>
    <w:p w14:paraId="0A9A45FE">
      <w:pPr>
        <w:spacing w:line="580" w:lineRule="exact"/>
        <w:ind w:firstLine="640"/>
        <w:jc w:val="both"/>
      </w:pPr>
      <w:r>
        <w:rPr>
          <w:rFonts w:ascii="仿宋_GB2312" w:hAnsi="仿宋_GB2312" w:eastAsia="仿宋_GB2312"/>
          <w:b w:val="0"/>
          <w:sz w:val="32"/>
        </w:rPr>
        <w:t>7.住房保障支出(类)住房改革支出(款)住房公积金(项):支出决算数为11.46万元，比上年决算增加0.36万元，增长3.24%,主要原因是：本年在职人员工资基数调增，公积金缴费基数上涨，相应支出增加。</w:t>
      </w:r>
    </w:p>
    <w:p w14:paraId="5F834000">
      <w:pPr>
        <w:spacing w:line="640" w:lineRule="exact"/>
        <w:ind w:firstLine="640"/>
        <w:jc w:val="both"/>
        <w:outlineLvl w:val="2"/>
      </w:pPr>
      <w:r>
        <w:rPr>
          <w:rFonts w:ascii="黑体" w:hAnsi="黑体" w:eastAsia="黑体"/>
          <w:sz w:val="32"/>
        </w:rPr>
        <w:t>六、一般公共预算财政拨款基本支出决算情况说明</w:t>
      </w:r>
    </w:p>
    <w:p w14:paraId="43518E3F">
      <w:pPr>
        <w:spacing w:line="580" w:lineRule="exact"/>
        <w:ind w:firstLine="640"/>
        <w:jc w:val="both"/>
      </w:pPr>
      <w:r>
        <w:rPr>
          <w:rFonts w:ascii="仿宋_GB2312" w:hAnsi="仿宋_GB2312" w:eastAsia="仿宋_GB2312"/>
          <w:b w:val="0"/>
          <w:sz w:val="32"/>
        </w:rPr>
        <w:t>2024年度一般公共预算财政拨款基本支出154.80万元，其中：</w:t>
      </w:r>
      <w:r>
        <w:rPr>
          <w:rFonts w:ascii="仿宋_GB2312" w:hAnsi="仿宋_GB2312" w:eastAsia="仿宋_GB2312"/>
          <w:b/>
          <w:sz w:val="32"/>
        </w:rPr>
        <w:t>人员经费142.89万元，</w:t>
      </w:r>
      <w:r>
        <w:rPr>
          <w:rFonts w:ascii="仿宋_GB2312" w:hAnsi="仿宋_GB2312" w:eastAsia="仿宋_GB2312"/>
          <w:b w:val="0"/>
          <w:sz w:val="32"/>
        </w:rPr>
        <w:t>包括：基本工资、津贴补贴、奖金、机关事业单位基本养老保险缴费、职业年金缴费、职工基本医疗保险缴费、其他社会保障缴费、住房公积金、退休费、奖励金。</w:t>
      </w:r>
    </w:p>
    <w:p w14:paraId="72684EFD">
      <w:pPr>
        <w:spacing w:line="580" w:lineRule="exact"/>
        <w:ind w:firstLine="640"/>
        <w:jc w:val="both"/>
      </w:pPr>
      <w:r>
        <w:rPr>
          <w:rFonts w:ascii="仿宋_GB2312" w:hAnsi="仿宋_GB2312" w:eastAsia="仿宋_GB2312"/>
          <w:b/>
          <w:sz w:val="32"/>
        </w:rPr>
        <w:t>公用经费11.91万元，</w:t>
      </w:r>
      <w:r>
        <w:rPr>
          <w:rFonts w:ascii="仿宋_GB2312" w:hAnsi="仿宋_GB2312" w:eastAsia="仿宋_GB2312"/>
          <w:b w:val="0"/>
          <w:sz w:val="32"/>
        </w:rPr>
        <w:t>包括：办公费、水费、电费、邮电费、物业管理费、差旅费、租赁费。</w:t>
      </w:r>
    </w:p>
    <w:p w14:paraId="44B17DE8">
      <w:pPr>
        <w:spacing w:line="640" w:lineRule="exact"/>
        <w:ind w:firstLine="640"/>
        <w:jc w:val="both"/>
        <w:outlineLvl w:val="2"/>
      </w:pPr>
      <w:r>
        <w:rPr>
          <w:rFonts w:ascii="黑体" w:hAnsi="黑体" w:eastAsia="黑体"/>
          <w:sz w:val="32"/>
        </w:rPr>
        <w:t>七、政府性基金预算财政拨款收入支出决算情况说明</w:t>
      </w:r>
    </w:p>
    <w:p w14:paraId="206C07DD">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16977DAA">
      <w:pPr>
        <w:spacing w:line="640" w:lineRule="exact"/>
        <w:ind w:firstLine="640"/>
        <w:jc w:val="both"/>
        <w:outlineLvl w:val="2"/>
      </w:pPr>
      <w:r>
        <w:rPr>
          <w:rFonts w:ascii="黑体" w:hAnsi="黑体" w:eastAsia="黑体"/>
          <w:sz w:val="32"/>
        </w:rPr>
        <w:t>八、国有资本经营预算财政拨款收入支出决算情况说明</w:t>
      </w:r>
    </w:p>
    <w:p w14:paraId="7189D44B">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3A423625">
      <w:pPr>
        <w:spacing w:line="640" w:lineRule="exact"/>
        <w:ind w:firstLine="640"/>
        <w:jc w:val="both"/>
        <w:outlineLvl w:val="2"/>
      </w:pPr>
      <w:r>
        <w:rPr>
          <w:rFonts w:ascii="黑体" w:hAnsi="黑体" w:eastAsia="黑体"/>
          <w:sz w:val="32"/>
        </w:rPr>
        <w:t>九、财政拨款“三公”经费支出决算情况说明</w:t>
      </w:r>
    </w:p>
    <w:p w14:paraId="0B1C790C">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1E85EB9A">
      <w:pPr>
        <w:spacing w:line="580" w:lineRule="exact"/>
        <w:ind w:firstLine="640"/>
        <w:jc w:val="both"/>
      </w:pPr>
      <w:r>
        <w:rPr>
          <w:rFonts w:ascii="仿宋_GB2312" w:hAnsi="仿宋_GB2312" w:eastAsia="仿宋_GB2312"/>
          <w:b/>
          <w:sz w:val="32"/>
        </w:rPr>
        <w:t>具体情况如下：</w:t>
      </w:r>
    </w:p>
    <w:p w14:paraId="2C8A8976">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709687EB">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0辆，与公务用车保有量差异原因是：本单位无固定资产车辆。</w:t>
      </w:r>
    </w:p>
    <w:p w14:paraId="29340E5D">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6F221BDD">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1D6669B9">
      <w:pPr>
        <w:spacing w:line="640" w:lineRule="exact"/>
        <w:ind w:firstLine="640"/>
        <w:jc w:val="both"/>
        <w:outlineLvl w:val="2"/>
      </w:pPr>
      <w:r>
        <w:rPr>
          <w:rFonts w:ascii="黑体" w:hAnsi="黑体" w:eastAsia="黑体"/>
          <w:sz w:val="32"/>
        </w:rPr>
        <w:t>十、其他重要事项的情况说明</w:t>
      </w:r>
    </w:p>
    <w:p w14:paraId="7DA2D44C">
      <w:pPr>
        <w:spacing w:line="640" w:lineRule="exact"/>
        <w:ind w:firstLine="640"/>
        <w:jc w:val="both"/>
        <w:outlineLvl w:val="3"/>
      </w:pPr>
      <w:r>
        <w:rPr>
          <w:rFonts w:ascii="楷体_GB2312" w:hAnsi="楷体_GB2312" w:eastAsia="楷体_GB2312"/>
          <w:b/>
          <w:sz w:val="32"/>
        </w:rPr>
        <w:t>（一）机关运行经费及公用经费支出情况</w:t>
      </w:r>
    </w:p>
    <w:p w14:paraId="060F60ED">
      <w:pPr>
        <w:spacing w:line="580" w:lineRule="exact"/>
        <w:ind w:firstLine="640"/>
        <w:jc w:val="both"/>
      </w:pPr>
      <w:r>
        <w:rPr>
          <w:rFonts w:ascii="仿宋_GB2312" w:hAnsi="仿宋_GB2312" w:eastAsia="仿宋_GB2312"/>
          <w:b w:val="0"/>
          <w:sz w:val="32"/>
        </w:rPr>
        <w:t>2024年度且末县行政服务中心（事业单位）公用经费支出11.91万元，比上年减少5.45万元，下降31.39%，主要原因是：严格控制公用经费，合理节约办公用品，减少办公费、电费。</w:t>
      </w:r>
    </w:p>
    <w:p w14:paraId="733E818E">
      <w:pPr>
        <w:spacing w:line="640" w:lineRule="exact"/>
        <w:ind w:firstLine="640"/>
        <w:jc w:val="both"/>
        <w:outlineLvl w:val="3"/>
      </w:pPr>
      <w:r>
        <w:rPr>
          <w:rFonts w:ascii="楷体_GB2312" w:hAnsi="楷体_GB2312" w:eastAsia="楷体_GB2312"/>
          <w:b/>
          <w:sz w:val="32"/>
        </w:rPr>
        <w:t>（二）政府采购情况</w:t>
      </w:r>
    </w:p>
    <w:p w14:paraId="496F6CBD">
      <w:pPr>
        <w:spacing w:line="580" w:lineRule="exact"/>
        <w:ind w:firstLine="640"/>
        <w:jc w:val="both"/>
      </w:pPr>
      <w:r>
        <w:rPr>
          <w:rFonts w:ascii="仿宋_GB2312" w:hAnsi="仿宋_GB2312" w:eastAsia="仿宋_GB2312"/>
          <w:b w:val="0"/>
          <w:sz w:val="32"/>
        </w:rPr>
        <w:t>2024年度政府采购支出总额0.60万元，其中：政府采购货物支出0.00万元、政府采购工程支出0.00万元、政府采购服务支出0.60万元。</w:t>
      </w:r>
    </w:p>
    <w:p w14:paraId="34B93281">
      <w:pPr>
        <w:spacing w:line="580" w:lineRule="exact"/>
        <w:ind w:firstLine="640"/>
        <w:jc w:val="both"/>
      </w:pPr>
      <w:r>
        <w:rPr>
          <w:rFonts w:ascii="仿宋_GB2312" w:hAnsi="仿宋_GB2312" w:eastAsia="仿宋_GB2312"/>
          <w:b w:val="0"/>
          <w:sz w:val="32"/>
        </w:rPr>
        <w:t>授予中小企业合同金额0.60万元，占政府采购支出总额的100.00%，其中：授予小微企业合同金额0.60万元，占政府采购支出总额的100.00%。</w:t>
      </w:r>
    </w:p>
    <w:p w14:paraId="53368DEC">
      <w:pPr>
        <w:spacing w:line="640" w:lineRule="exact"/>
        <w:ind w:firstLine="640"/>
        <w:jc w:val="both"/>
        <w:outlineLvl w:val="3"/>
      </w:pPr>
      <w:r>
        <w:rPr>
          <w:rFonts w:ascii="楷体_GB2312" w:hAnsi="楷体_GB2312" w:eastAsia="楷体_GB2312"/>
          <w:b/>
          <w:sz w:val="32"/>
        </w:rPr>
        <w:t>（三）国有资产占用情况说明</w:t>
      </w:r>
    </w:p>
    <w:p w14:paraId="2512951F">
      <w:pPr>
        <w:spacing w:line="580" w:lineRule="exact"/>
        <w:ind w:firstLine="640"/>
        <w:jc w:val="both"/>
      </w:pPr>
      <w:r>
        <w:rPr>
          <w:rFonts w:ascii="仿宋_GB2312" w:hAnsi="仿宋_GB2312" w:eastAsia="仿宋_GB2312"/>
          <w:b w:val="0"/>
          <w:sz w:val="32"/>
        </w:rPr>
        <w:t>截至2024年12月31日，房屋0.00平方米，价值0.00万元。车辆0辆，价值0.00万元，其中：副部（省）级及以上领导用车0辆、主要负责人用车0辆、机要通信用车0辆、应急保障用车0辆、执法执勤用车0辆、特种专业技术用车0辆、离退休干部服务用车0辆、其他用车0辆，其他用车主要是：本单位无其他用车。单价100万元（含）以上设备（不含车辆）0台（套）。</w:t>
      </w:r>
    </w:p>
    <w:p w14:paraId="7D009287">
      <w:pPr>
        <w:spacing w:line="640" w:lineRule="exact"/>
        <w:ind w:firstLine="640"/>
        <w:jc w:val="both"/>
        <w:outlineLvl w:val="2"/>
      </w:pPr>
      <w:r>
        <w:rPr>
          <w:rFonts w:ascii="黑体" w:hAnsi="黑体" w:eastAsia="黑体"/>
          <w:sz w:val="32"/>
        </w:rPr>
        <w:t>十一、预算绩效的情况说明</w:t>
      </w:r>
    </w:p>
    <w:p w14:paraId="6A65E69E">
      <w:pPr>
        <w:spacing w:line="580" w:lineRule="exact"/>
        <w:ind w:firstLine="640"/>
        <w:jc w:val="both"/>
      </w:pPr>
      <w:r>
        <w:rPr>
          <w:rFonts w:ascii="仿宋_GB2312" w:hAnsi="仿宋_GB2312" w:eastAsia="仿宋_GB2312"/>
          <w:b w:val="0"/>
          <w:sz w:val="32"/>
        </w:rPr>
        <w:t>根据预算绩效管理要求，本单位预算绩效评价项目0个，全年预算数0.00万元，全年执行数0.00万元。预算绩效管理取得的成效：2024年我单位无预算绩效项目。发现的问题及原因：2024年我单位无预算绩效项目。下一步改进措施：2024年我单位无预算绩效项目。</w:t>
      </w:r>
    </w:p>
    <w:p w14:paraId="1A4D4E23">
      <w:r>
        <w:br w:type="page"/>
      </w:r>
    </w:p>
    <w:p w14:paraId="3F238D35">
      <w:pPr>
        <w:spacing w:line="640" w:lineRule="exact"/>
        <w:ind w:firstLine="640"/>
        <w:jc w:val="both"/>
        <w:outlineLvl w:val="2"/>
      </w:pPr>
      <w:r>
        <w:rPr>
          <w:rFonts w:ascii="黑体" w:hAnsi="黑体" w:eastAsia="黑体"/>
          <w:sz w:val="32"/>
        </w:rPr>
        <w:t>十二、其他需说明的事项</w:t>
      </w:r>
    </w:p>
    <w:p w14:paraId="522D0358">
      <w:pPr>
        <w:ind w:firstLine="640" w:firstLineChars="200"/>
        <w:rPr>
          <w:rFonts w:hint="eastAsia" w:ascii="仿宋_GB2312" w:hAnsi="仿宋_GB2312" w:eastAsia="仿宋_GB2312"/>
          <w:b w:val="0"/>
          <w:sz w:val="32"/>
        </w:rPr>
      </w:pPr>
      <w:r>
        <w:rPr>
          <w:rFonts w:hint="eastAsia" w:ascii="仿宋_GB2312" w:hAnsi="仿宋_GB2312" w:eastAsia="仿宋_GB2312"/>
          <w:b w:val="0"/>
          <w:sz w:val="32"/>
        </w:rPr>
        <w:t>本年度本单位整体绩效自评表由主管部门编报并公开。</w:t>
      </w:r>
    </w:p>
    <w:p w14:paraId="30515081">
      <w:pPr>
        <w:ind w:firstLine="640" w:firstLineChars="200"/>
      </w:pPr>
      <w:r>
        <w:br w:type="page"/>
      </w:r>
    </w:p>
    <w:p w14:paraId="3B1E73A3">
      <w:pPr>
        <w:spacing w:line="240" w:lineRule="auto"/>
        <w:jc w:val="center"/>
        <w:outlineLvl w:val="1"/>
      </w:pPr>
      <w:r>
        <w:rPr>
          <w:rFonts w:ascii="黑体" w:hAnsi="黑体" w:eastAsia="黑体"/>
          <w:sz w:val="32"/>
        </w:rPr>
        <w:t>第三部分 专业名词解释</w:t>
      </w:r>
    </w:p>
    <w:p w14:paraId="0D93D535">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7B4482A9">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3D7BBFE9">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513A99E8">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5E8BC77C">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057DBCEA">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5320A6AD">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28970177">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6350B18A">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31CFAB39">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75424BE3">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0AD1278B">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12BAB99F">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4C10E299">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53DD41FB">
      <w:r>
        <w:br w:type="page"/>
      </w:r>
    </w:p>
    <w:p w14:paraId="2CA8C381">
      <w:pPr>
        <w:spacing w:line="240" w:lineRule="auto"/>
        <w:jc w:val="center"/>
        <w:outlineLvl w:val="1"/>
      </w:pPr>
      <w:r>
        <w:rPr>
          <w:rFonts w:ascii="黑体" w:hAnsi="黑体" w:eastAsia="黑体"/>
          <w:sz w:val="32"/>
        </w:rPr>
        <w:t>第四部分 部门决算报表（见附表）</w:t>
      </w:r>
    </w:p>
    <w:p w14:paraId="6FB6A94B">
      <w:pPr>
        <w:spacing w:line="240" w:lineRule="auto"/>
        <w:ind w:firstLine="640"/>
        <w:jc w:val="both"/>
      </w:pPr>
      <w:r>
        <w:rPr>
          <w:rFonts w:ascii="仿宋_GB2312" w:hAnsi="仿宋_GB2312" w:eastAsia="仿宋_GB2312"/>
          <w:b w:val="0"/>
          <w:sz w:val="32"/>
        </w:rPr>
        <w:t>一、《收入支出决算总表》</w:t>
      </w:r>
    </w:p>
    <w:p w14:paraId="7ADDC45E">
      <w:pPr>
        <w:spacing w:line="240" w:lineRule="auto"/>
        <w:ind w:firstLine="640"/>
        <w:jc w:val="both"/>
      </w:pPr>
      <w:r>
        <w:rPr>
          <w:rFonts w:ascii="仿宋_GB2312" w:hAnsi="仿宋_GB2312" w:eastAsia="仿宋_GB2312"/>
          <w:b w:val="0"/>
          <w:sz w:val="32"/>
        </w:rPr>
        <w:t>二、《收入决算表》</w:t>
      </w:r>
    </w:p>
    <w:p w14:paraId="31A8CA1E">
      <w:pPr>
        <w:spacing w:line="240" w:lineRule="auto"/>
        <w:ind w:firstLine="640"/>
        <w:jc w:val="both"/>
      </w:pPr>
      <w:r>
        <w:rPr>
          <w:rFonts w:ascii="仿宋_GB2312" w:hAnsi="仿宋_GB2312" w:eastAsia="仿宋_GB2312"/>
          <w:b w:val="0"/>
          <w:sz w:val="32"/>
        </w:rPr>
        <w:t>三、《支出决算表》</w:t>
      </w:r>
    </w:p>
    <w:p w14:paraId="0E55CCAB">
      <w:pPr>
        <w:spacing w:line="240" w:lineRule="auto"/>
        <w:ind w:firstLine="640"/>
        <w:jc w:val="both"/>
      </w:pPr>
      <w:r>
        <w:rPr>
          <w:rFonts w:ascii="仿宋_GB2312" w:hAnsi="仿宋_GB2312" w:eastAsia="仿宋_GB2312"/>
          <w:b w:val="0"/>
          <w:sz w:val="32"/>
        </w:rPr>
        <w:t>四、《财政拨款收入支出决算总表》</w:t>
      </w:r>
    </w:p>
    <w:p w14:paraId="648576FD">
      <w:pPr>
        <w:spacing w:line="240" w:lineRule="auto"/>
        <w:ind w:firstLine="640"/>
        <w:jc w:val="both"/>
      </w:pPr>
      <w:r>
        <w:rPr>
          <w:rFonts w:ascii="仿宋_GB2312" w:hAnsi="仿宋_GB2312" w:eastAsia="仿宋_GB2312"/>
          <w:b w:val="0"/>
          <w:sz w:val="32"/>
        </w:rPr>
        <w:t>五、《一般公共预算财政拨款支出决算表》</w:t>
      </w:r>
    </w:p>
    <w:p w14:paraId="4F8F0741">
      <w:pPr>
        <w:spacing w:line="240" w:lineRule="auto"/>
        <w:ind w:firstLine="640"/>
        <w:jc w:val="both"/>
      </w:pPr>
      <w:r>
        <w:rPr>
          <w:rFonts w:ascii="仿宋_GB2312" w:hAnsi="仿宋_GB2312" w:eastAsia="仿宋_GB2312"/>
          <w:b w:val="0"/>
          <w:sz w:val="32"/>
        </w:rPr>
        <w:t>六、《一般公共预算财政拨款基本支出决算表》</w:t>
      </w:r>
    </w:p>
    <w:p w14:paraId="3EA0E99B">
      <w:pPr>
        <w:spacing w:line="240" w:lineRule="auto"/>
        <w:ind w:firstLine="640"/>
        <w:jc w:val="both"/>
      </w:pPr>
      <w:r>
        <w:rPr>
          <w:rFonts w:ascii="仿宋_GB2312" w:hAnsi="仿宋_GB2312" w:eastAsia="仿宋_GB2312"/>
          <w:b w:val="0"/>
          <w:sz w:val="32"/>
        </w:rPr>
        <w:t>七、《政府性基金预算财政拨款收入支出决算表》</w:t>
      </w:r>
    </w:p>
    <w:p w14:paraId="092A4025">
      <w:pPr>
        <w:spacing w:line="240" w:lineRule="auto"/>
        <w:ind w:firstLine="640"/>
        <w:jc w:val="both"/>
      </w:pPr>
      <w:r>
        <w:rPr>
          <w:rFonts w:ascii="仿宋_GB2312" w:hAnsi="仿宋_GB2312" w:eastAsia="仿宋_GB2312"/>
          <w:b w:val="0"/>
          <w:sz w:val="32"/>
        </w:rPr>
        <w:t>八、《国有资本经营预算财政拨款收入支出决算表》</w:t>
      </w:r>
    </w:p>
    <w:p w14:paraId="4310536C">
      <w:pPr>
        <w:spacing w:line="240" w:lineRule="auto"/>
        <w:ind w:firstLine="640"/>
        <w:jc w:val="both"/>
      </w:pPr>
      <w:r>
        <w:rPr>
          <w:rFonts w:ascii="仿宋_GB2312" w:hAnsi="仿宋_GB2312" w:eastAsia="仿宋_GB2312"/>
          <w:b w:val="0"/>
          <w:sz w:val="32"/>
        </w:rPr>
        <w:t>九、《财政拨款“三公”经费支出决算表》</w:t>
      </w:r>
    </w:p>
    <w:p w14:paraId="3F78E693">
      <w:pPr>
        <w:spacing w:line="240" w:lineRule="auto"/>
        <w:ind w:firstLine="640"/>
        <w:jc w:val="both"/>
      </w:pPr>
    </w:p>
    <w:p w14:paraId="15E63BA5">
      <w:pPr>
        <w:spacing w:line="240" w:lineRule="auto"/>
        <w:ind w:firstLine="640"/>
        <w:jc w:val="both"/>
      </w:pPr>
    </w:p>
    <w:p w14:paraId="40143D5B">
      <w:pPr>
        <w:spacing w:line="240" w:lineRule="auto"/>
        <w:ind w:firstLine="640"/>
        <w:jc w:val="both"/>
      </w:pPr>
    </w:p>
    <w:p w14:paraId="4941B2DD">
      <w:pPr>
        <w:spacing w:line="240" w:lineRule="auto"/>
        <w:ind w:firstLine="640"/>
        <w:jc w:val="both"/>
      </w:pPr>
    </w:p>
    <w:p w14:paraId="4799C604">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5C02713-C3B1-4A03-BE51-7A6360B4E5A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3E9B43BA-49F3-4B4D-8516-6840D003E11C}"/>
  </w:font>
  <w:font w:name="仿宋_GB2312">
    <w:panose1 w:val="02010609030101010101"/>
    <w:charset w:val="86"/>
    <w:family w:val="modern"/>
    <w:pitch w:val="default"/>
    <w:sig w:usb0="00000001" w:usb1="080E0000" w:usb2="00000000" w:usb3="00000000" w:csb0="00040000" w:csb1="00000000"/>
    <w:embedRegular r:id="rId3" w:fontKey="{B2043AF2-EDD7-40CB-A470-BAA350EE2B0B}"/>
  </w:font>
  <w:font w:name="楷体_GB2312">
    <w:panose1 w:val="02010609030101010101"/>
    <w:charset w:val="86"/>
    <w:family w:val="auto"/>
    <w:pitch w:val="default"/>
    <w:sig w:usb0="00000001" w:usb1="080E0000" w:usb2="00000000" w:usb3="00000000" w:csb0="00040000" w:csb1="00000000"/>
    <w:embedRegular r:id="rId4" w:fontKey="{2C3E3836-979F-4DE6-B946-14A715F021F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210971"/>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EAD7727"/>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415711"/>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5546</Words>
  <Characters>6217</Characters>
  <Lines>0</Lines>
  <Paragraphs>0</Paragraphs>
  <TotalTime>6</TotalTime>
  <ScaleCrop>false</ScaleCrop>
  <LinksUpToDate>false</LinksUpToDate>
  <CharactersWithSpaces>6227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白羊</cp:lastModifiedBy>
  <cp:lastPrinted>2024-07-22T11:58:00Z</cp:lastPrinted>
  <dcterms:modified xsi:type="dcterms:W3CDTF">2025-09-26T11:00:35Z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eyJoZGlkIjoiYmMxZDY5OGZlYzU4ZGEwZmUyZWNkMmU5NzBiZTFjZWEiLCJ1c2VySWQiOiI0MzE2NzY3NzkifQ==</vt:lpwstr>
  </property>
</Properties>
</file>