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且末县机关事务中心2024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AC36BDE">
      <w:r>
        <w:br w:type="page"/>
      </w:r>
    </w:p>
    <w:p w14:paraId="296CBFC4">
      <w:pPr>
        <w:spacing w:line="640" w:lineRule="exact"/>
        <w:jc w:val="center"/>
        <w:outlineLvl w:val="1"/>
      </w:pPr>
      <w:r>
        <w:rPr>
          <w:rFonts w:ascii="黑体" w:hAnsi="黑体" w:eastAsia="黑体"/>
          <w:sz w:val="32"/>
        </w:rPr>
        <w:t>第一部分 单位概况</w:t>
      </w:r>
    </w:p>
    <w:p w14:paraId="7DA89894">
      <w:pPr>
        <w:spacing w:line="640" w:lineRule="exact"/>
        <w:ind w:firstLine="640"/>
        <w:jc w:val="both"/>
        <w:outlineLvl w:val="2"/>
      </w:pPr>
      <w:r>
        <w:rPr>
          <w:rFonts w:ascii="黑体" w:hAnsi="黑体" w:eastAsia="黑体"/>
          <w:sz w:val="32"/>
        </w:rPr>
        <w:t>一、主要职能</w:t>
      </w:r>
    </w:p>
    <w:p w14:paraId="6C3C7E46">
      <w:pPr>
        <w:spacing w:line="580" w:lineRule="exact"/>
        <w:ind w:firstLine="640"/>
        <w:jc w:val="both"/>
      </w:pPr>
      <w:r>
        <w:rPr>
          <w:rFonts w:ascii="仿宋_GB2312" w:hAnsi="仿宋_GB2312" w:eastAsia="仿宋_GB2312"/>
          <w:sz w:val="32"/>
        </w:rPr>
        <w:t>1.贯彻落实国家，自治区、州有关机关事务工作的方针政策和法律、法规，规章，研究拟订县机关事务工作的具体规定和办法并组织实施。</w:t>
      </w:r>
    </w:p>
    <w:p w14:paraId="7BA6A741">
      <w:pPr>
        <w:spacing w:line="580" w:lineRule="exact"/>
        <w:ind w:firstLine="640"/>
        <w:jc w:val="both"/>
      </w:pPr>
      <w:r>
        <w:rPr>
          <w:rFonts w:ascii="仿宋_GB2312" w:hAnsi="仿宋_GB2312" w:eastAsia="仿宋_GB2312"/>
          <w:sz w:val="32"/>
        </w:rPr>
        <w:t>2.指导和协调县级各部门机关事务管理工作。</w:t>
      </w:r>
    </w:p>
    <w:p w14:paraId="74776FAC">
      <w:pPr>
        <w:spacing w:line="580" w:lineRule="exact"/>
        <w:ind w:firstLine="640"/>
        <w:jc w:val="both"/>
      </w:pPr>
      <w:r>
        <w:rPr>
          <w:rFonts w:ascii="仿宋_GB2312" w:hAnsi="仿宋_GB2312" w:eastAsia="仿宋_GB2312"/>
          <w:sz w:val="32"/>
        </w:rPr>
        <w:t>3.负责全县公共机构节能工作，会同有关部门制定规划，相关制度并组织实施。</w:t>
      </w:r>
    </w:p>
    <w:p w14:paraId="24EE91B5">
      <w:pPr>
        <w:spacing w:line="580" w:lineRule="exact"/>
        <w:ind w:firstLine="640"/>
        <w:jc w:val="both"/>
      </w:pPr>
      <w:r>
        <w:rPr>
          <w:rFonts w:ascii="仿宋_GB2312" w:hAnsi="仿宋_GB2312" w:eastAsia="仿宋_GB2312"/>
          <w:sz w:val="32"/>
        </w:rPr>
        <w:t>4.负责全县公务用车计划的编制和车辆配备，购置和更新报废的申报审核及车辆资料的管理工作。</w:t>
      </w:r>
    </w:p>
    <w:p w14:paraId="4E31C63B">
      <w:pPr>
        <w:spacing w:line="580" w:lineRule="exact"/>
        <w:ind w:firstLine="640"/>
        <w:jc w:val="both"/>
      </w:pPr>
      <w:r>
        <w:rPr>
          <w:rFonts w:ascii="仿宋_GB2312" w:hAnsi="仿宋_GB2312" w:eastAsia="仿宋_GB2312"/>
          <w:sz w:val="32"/>
        </w:rPr>
        <w:t>5.负责全县党政机关办公用房的规划、权属、配置、使用、维修审批、处置等管理工作。</w:t>
      </w:r>
    </w:p>
    <w:p w14:paraId="03111C6E">
      <w:pPr>
        <w:spacing w:line="580" w:lineRule="exact"/>
        <w:ind w:firstLine="640"/>
        <w:jc w:val="both"/>
      </w:pPr>
      <w:r>
        <w:rPr>
          <w:rFonts w:ascii="仿宋_GB2312" w:hAnsi="仿宋_GB2312" w:eastAsia="仿宋_GB2312"/>
          <w:sz w:val="32"/>
        </w:rPr>
        <w:t>6.负责县委、县人大、县政府、县政协公务活动中重要宾客的接待服务工作。</w:t>
      </w:r>
    </w:p>
    <w:p w14:paraId="1857A2C8">
      <w:pPr>
        <w:spacing w:line="580" w:lineRule="exact"/>
        <w:ind w:firstLine="640"/>
        <w:jc w:val="both"/>
      </w:pPr>
      <w:r>
        <w:rPr>
          <w:rFonts w:ascii="仿宋_GB2312" w:hAnsi="仿宋_GB2312" w:eastAsia="仿宋_GB2312"/>
          <w:sz w:val="32"/>
        </w:rPr>
        <w:t>7.负责全县性重要会议和大型活动的后勤保障和接待服务工作。</w:t>
      </w:r>
    </w:p>
    <w:p w14:paraId="26C9F9EA">
      <w:pPr>
        <w:spacing w:line="580" w:lineRule="exact"/>
        <w:ind w:firstLine="640"/>
        <w:jc w:val="both"/>
      </w:pPr>
      <w:r>
        <w:rPr>
          <w:rFonts w:ascii="仿宋_GB2312" w:hAnsi="仿宋_GB2312" w:eastAsia="仿宋_GB2312"/>
          <w:sz w:val="32"/>
        </w:rPr>
        <w:t>8.负责拟定全县接待工作规章制度，协调建立县接待工作保障网络。</w:t>
      </w:r>
    </w:p>
    <w:p w14:paraId="6D23CFA8">
      <w:pPr>
        <w:spacing w:line="580" w:lineRule="exact"/>
        <w:ind w:firstLine="640"/>
        <w:jc w:val="both"/>
      </w:pPr>
      <w:r>
        <w:rPr>
          <w:rFonts w:ascii="仿宋_GB2312" w:hAnsi="仿宋_GB2312" w:eastAsia="仿宋_GB2312"/>
          <w:sz w:val="32"/>
        </w:rPr>
        <w:t>9.负责县委、县政府交办的其他任务。</w:t>
      </w:r>
    </w:p>
    <w:p w14:paraId="345C0D8D">
      <w:pPr>
        <w:spacing w:line="580" w:lineRule="exact"/>
        <w:ind w:firstLine="640"/>
        <w:jc w:val="both"/>
      </w:pPr>
      <w:r>
        <w:rPr>
          <w:rFonts w:ascii="仿宋_GB2312" w:hAnsi="仿宋_GB2312" w:eastAsia="仿宋_GB2312"/>
          <w:sz w:val="32"/>
        </w:rPr>
        <w:t>10.负责机关大楼及干部</w:t>
      </w:r>
      <w:r>
        <w:rPr>
          <w:rFonts w:hint="eastAsia" w:ascii="仿宋_GB2312" w:hAnsi="仿宋_GB2312" w:eastAsia="仿宋_GB2312"/>
          <w:sz w:val="32"/>
          <w:lang w:eastAsia="zh-CN"/>
        </w:rPr>
        <w:t>职工</w:t>
      </w:r>
      <w:r>
        <w:rPr>
          <w:rFonts w:ascii="仿宋_GB2312" w:hAnsi="仿宋_GB2312" w:eastAsia="仿宋_GB2312"/>
          <w:sz w:val="32"/>
        </w:rPr>
        <w:t>周转房的分配，调整和维修管理。</w:t>
      </w:r>
    </w:p>
    <w:p w14:paraId="7DD17EFE">
      <w:pPr>
        <w:spacing w:line="580" w:lineRule="exact"/>
        <w:ind w:firstLine="640"/>
        <w:jc w:val="both"/>
      </w:pPr>
      <w:r>
        <w:rPr>
          <w:rFonts w:ascii="仿宋_GB2312" w:hAnsi="仿宋_GB2312" w:eastAsia="仿宋_GB2312"/>
          <w:sz w:val="32"/>
        </w:rPr>
        <w:t>11.负责机关大楼的安全保卫、环境卫生、绿化美化、</w:t>
      </w:r>
      <w:r>
        <w:rPr>
          <w:rFonts w:hint="eastAsia" w:ascii="仿宋_GB2312" w:hAnsi="仿宋_GB2312" w:eastAsia="仿宋_GB2312"/>
          <w:sz w:val="32"/>
          <w:lang w:eastAsia="zh-CN"/>
        </w:rPr>
        <w:t>通信保障</w:t>
      </w:r>
      <w:r>
        <w:rPr>
          <w:rFonts w:ascii="仿宋_GB2312" w:hAnsi="仿宋_GB2312" w:eastAsia="仿宋_GB2312"/>
          <w:sz w:val="32"/>
        </w:rPr>
        <w:t>，水电供应的生活服务。</w:t>
      </w:r>
    </w:p>
    <w:p w14:paraId="589E8A52">
      <w:pPr>
        <w:spacing w:line="640" w:lineRule="exact"/>
        <w:ind w:firstLine="640"/>
        <w:jc w:val="both"/>
        <w:outlineLvl w:val="2"/>
      </w:pPr>
      <w:r>
        <w:rPr>
          <w:rFonts w:ascii="黑体" w:hAnsi="黑体" w:eastAsia="黑体"/>
          <w:sz w:val="32"/>
        </w:rPr>
        <w:t>二、机构设置及人员情况</w:t>
      </w:r>
    </w:p>
    <w:p w14:paraId="18009716">
      <w:pPr>
        <w:spacing w:line="580" w:lineRule="exact"/>
        <w:ind w:firstLine="640"/>
        <w:jc w:val="both"/>
      </w:pPr>
      <w:r>
        <w:rPr>
          <w:rFonts w:ascii="仿宋_GB2312" w:hAnsi="仿宋_GB2312" w:eastAsia="仿宋_GB2312"/>
          <w:sz w:val="32"/>
        </w:rPr>
        <w:t>且末县机关事务中心2024年度，实有人数25人，其中：在职人员13人，减少1人；离休人员0人，增加0人；退休人员12人,增加1人。</w:t>
      </w:r>
    </w:p>
    <w:p w14:paraId="40836062">
      <w:pPr>
        <w:spacing w:line="580" w:lineRule="exact"/>
        <w:ind w:firstLine="640"/>
        <w:jc w:val="both"/>
      </w:pPr>
      <w:r>
        <w:rPr>
          <w:rFonts w:ascii="仿宋_GB2312" w:hAnsi="仿宋_GB2312" w:eastAsia="仿宋_GB2312"/>
          <w:sz w:val="32"/>
        </w:rPr>
        <w:t>且末县机关事务中心无下属预算单位，下设6个科室，分别是：主任办公室、公共节能办公室、公务车辆办公室、机房办公室、财务室、办公用房办公室。</w:t>
      </w:r>
    </w:p>
    <w:p w14:paraId="48E6FB1E">
      <w:r>
        <w:br w:type="page"/>
      </w:r>
    </w:p>
    <w:p w14:paraId="35ED12B7">
      <w:pPr>
        <w:spacing w:line="240" w:lineRule="auto"/>
        <w:jc w:val="center"/>
        <w:outlineLvl w:val="1"/>
      </w:pPr>
      <w:r>
        <w:rPr>
          <w:rFonts w:ascii="黑体" w:hAnsi="黑体" w:eastAsia="黑体"/>
          <w:sz w:val="32"/>
        </w:rPr>
        <w:t>第二部分 部门决算情况说明</w:t>
      </w:r>
    </w:p>
    <w:p w14:paraId="52BBA0FA">
      <w:pPr>
        <w:spacing w:line="640" w:lineRule="exact"/>
        <w:ind w:firstLine="640"/>
        <w:jc w:val="both"/>
        <w:outlineLvl w:val="2"/>
      </w:pPr>
      <w:r>
        <w:rPr>
          <w:rFonts w:ascii="黑体" w:hAnsi="黑体" w:eastAsia="黑体"/>
          <w:sz w:val="32"/>
        </w:rPr>
        <w:t>一、收入支出决算总体情况说明</w:t>
      </w:r>
    </w:p>
    <w:p w14:paraId="049F6991">
      <w:pPr>
        <w:spacing w:line="580" w:lineRule="exact"/>
        <w:ind w:firstLine="640"/>
        <w:jc w:val="both"/>
      </w:pPr>
      <w:r>
        <w:rPr>
          <w:rFonts w:ascii="仿宋_GB2312" w:hAnsi="仿宋_GB2312" w:eastAsia="仿宋_GB2312"/>
          <w:b/>
          <w:sz w:val="32"/>
        </w:rPr>
        <w:t>2024年度收入总计873.36万元，</w:t>
      </w:r>
      <w:r>
        <w:rPr>
          <w:rFonts w:ascii="仿宋_GB2312" w:hAnsi="仿宋_GB2312" w:eastAsia="仿宋_GB2312"/>
          <w:b w:val="0"/>
          <w:sz w:val="32"/>
        </w:rPr>
        <w:t>其中：本年收入合计873.36万元，使用非财政拨款结余（含专用结余）0.00万元，年初结转和结余0.00万元。</w:t>
      </w:r>
    </w:p>
    <w:p w14:paraId="5B0F2EA5">
      <w:pPr>
        <w:spacing w:line="580" w:lineRule="exact"/>
        <w:ind w:firstLine="640"/>
        <w:jc w:val="both"/>
      </w:pPr>
      <w:r>
        <w:rPr>
          <w:rFonts w:ascii="仿宋_GB2312" w:hAnsi="仿宋_GB2312" w:eastAsia="仿宋_GB2312"/>
          <w:b/>
          <w:sz w:val="32"/>
        </w:rPr>
        <w:t>2024年度支出总计873.36万元，</w:t>
      </w:r>
      <w:r>
        <w:rPr>
          <w:rFonts w:ascii="仿宋_GB2312" w:hAnsi="仿宋_GB2312" w:eastAsia="仿宋_GB2312"/>
          <w:b w:val="0"/>
          <w:sz w:val="32"/>
        </w:rPr>
        <w:t>其中：本年支出合计873.36万元，结余分配0.00万元，年末结转和结余0.00万元。</w:t>
      </w:r>
    </w:p>
    <w:p w14:paraId="4C0F5D9B">
      <w:pPr>
        <w:spacing w:line="580" w:lineRule="exact"/>
        <w:ind w:firstLine="640"/>
        <w:jc w:val="both"/>
      </w:pPr>
      <w:r>
        <w:rPr>
          <w:rFonts w:ascii="仿宋_GB2312" w:hAnsi="仿宋_GB2312" w:eastAsia="仿宋_GB2312"/>
          <w:b w:val="0"/>
          <w:sz w:val="32"/>
        </w:rPr>
        <w:t>收入支出总体与上年相比，减少332.86万元，下降27.60%，主要原因是：一是严格落实中央八项规定精神，厉行节约，减少公务接待费；二是干部职工伙食补助较上年减少。</w:t>
      </w:r>
    </w:p>
    <w:p w14:paraId="443F7A93">
      <w:pPr>
        <w:spacing w:line="640" w:lineRule="exact"/>
        <w:ind w:firstLine="640"/>
        <w:jc w:val="both"/>
        <w:outlineLvl w:val="2"/>
      </w:pPr>
      <w:r>
        <w:rPr>
          <w:rFonts w:ascii="黑体" w:hAnsi="黑体" w:eastAsia="黑体"/>
          <w:sz w:val="32"/>
        </w:rPr>
        <w:t>二、收入决算情况说明</w:t>
      </w:r>
    </w:p>
    <w:p w14:paraId="54C7E2AC">
      <w:pPr>
        <w:spacing w:line="580" w:lineRule="exact"/>
        <w:ind w:firstLine="640"/>
        <w:jc w:val="both"/>
      </w:pPr>
      <w:r>
        <w:rPr>
          <w:rFonts w:ascii="仿宋_GB2312" w:hAnsi="仿宋_GB2312" w:eastAsia="仿宋_GB2312"/>
          <w:b/>
          <w:sz w:val="32"/>
        </w:rPr>
        <w:t>本年收入873.36万元，</w:t>
      </w:r>
      <w:r>
        <w:rPr>
          <w:rFonts w:ascii="仿宋_GB2312" w:hAnsi="仿宋_GB2312" w:eastAsia="仿宋_GB2312"/>
          <w:b w:val="0"/>
          <w:sz w:val="32"/>
        </w:rPr>
        <w:t>其中：财政拨款收入873.36万元，占100.00%；上级补助收入0.00万元，占0.00%；事业收入0.00万元，占0.00%；经营收入0.00万元，占0.00%；附属单位上缴收入0.00万元，占0.00%；其他收入0.00万元，占0.00%。</w:t>
      </w:r>
    </w:p>
    <w:p w14:paraId="050541B5">
      <w:pPr>
        <w:spacing w:line="640" w:lineRule="exact"/>
        <w:ind w:firstLine="640"/>
        <w:jc w:val="both"/>
        <w:outlineLvl w:val="2"/>
      </w:pPr>
      <w:r>
        <w:rPr>
          <w:rFonts w:ascii="黑体" w:hAnsi="黑体" w:eastAsia="黑体"/>
          <w:sz w:val="32"/>
        </w:rPr>
        <w:t>三、支出决算情况说明</w:t>
      </w:r>
    </w:p>
    <w:p w14:paraId="483CFBC3">
      <w:pPr>
        <w:spacing w:line="580" w:lineRule="exact"/>
        <w:ind w:firstLine="640"/>
        <w:jc w:val="both"/>
      </w:pPr>
      <w:r>
        <w:rPr>
          <w:rFonts w:ascii="仿宋_GB2312" w:hAnsi="仿宋_GB2312" w:eastAsia="仿宋_GB2312"/>
          <w:b/>
          <w:sz w:val="32"/>
        </w:rPr>
        <w:t>本年支出873.36万元，</w:t>
      </w:r>
      <w:r>
        <w:rPr>
          <w:rFonts w:ascii="仿宋_GB2312" w:hAnsi="仿宋_GB2312" w:eastAsia="仿宋_GB2312"/>
          <w:b w:val="0"/>
          <w:sz w:val="32"/>
        </w:rPr>
        <w:t>其中：基本支出873.36万元，占100.00%；项目支出0.00万元，占0.00%；上缴上级支出0.00万元，占0.00%；经营支出0.00万元，占0.00%；对附属单位补助支出0.00万元，占0.00%。</w:t>
      </w:r>
    </w:p>
    <w:p w14:paraId="64354770">
      <w:pPr>
        <w:spacing w:line="640" w:lineRule="exact"/>
        <w:ind w:firstLine="640"/>
        <w:jc w:val="both"/>
        <w:outlineLvl w:val="2"/>
      </w:pPr>
      <w:r>
        <w:rPr>
          <w:rFonts w:ascii="黑体" w:hAnsi="黑体" w:eastAsia="黑体"/>
          <w:sz w:val="32"/>
        </w:rPr>
        <w:t>四、财政拨款收入支出决算总体情况说明</w:t>
      </w:r>
    </w:p>
    <w:p w14:paraId="456625CD">
      <w:pPr>
        <w:spacing w:line="580" w:lineRule="exact"/>
        <w:ind w:firstLine="640"/>
        <w:jc w:val="both"/>
      </w:pPr>
      <w:r>
        <w:rPr>
          <w:rFonts w:ascii="仿宋_GB2312" w:hAnsi="仿宋_GB2312" w:eastAsia="仿宋_GB2312"/>
          <w:b/>
          <w:sz w:val="32"/>
        </w:rPr>
        <w:t>2024年度财政拨款收入总计873.36万元，</w:t>
      </w:r>
      <w:r>
        <w:rPr>
          <w:rFonts w:ascii="仿宋_GB2312" w:hAnsi="仿宋_GB2312" w:eastAsia="仿宋_GB2312"/>
          <w:b w:val="0"/>
          <w:sz w:val="32"/>
        </w:rPr>
        <w:t>其中：年初财政拨款结转和结余0.00万元，本年财政拨款收入873.36万元。</w:t>
      </w:r>
      <w:r>
        <w:rPr>
          <w:rFonts w:ascii="仿宋_GB2312" w:hAnsi="仿宋_GB2312" w:eastAsia="仿宋_GB2312"/>
          <w:b/>
          <w:sz w:val="32"/>
        </w:rPr>
        <w:t>财政拨款支出总计873.36万元，</w:t>
      </w:r>
      <w:r>
        <w:rPr>
          <w:rFonts w:ascii="仿宋_GB2312" w:hAnsi="仿宋_GB2312" w:eastAsia="仿宋_GB2312"/>
          <w:b w:val="0"/>
          <w:sz w:val="32"/>
        </w:rPr>
        <w:t>其中：年末财政拨款结转和结余0.00万元，本年财政拨款支出873.36万元。</w:t>
      </w:r>
    </w:p>
    <w:p w14:paraId="13247F27">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减少332.86万元，下降27.60%，主要原因是：一是严格落实中央八项规定精神，厉行节约，减少公务接待费；二是干部职工伙食补助较上年减少。</w:t>
      </w:r>
      <w:r>
        <w:rPr>
          <w:rFonts w:ascii="仿宋_GB2312" w:hAnsi="仿宋_GB2312" w:eastAsia="仿宋_GB2312"/>
          <w:b/>
          <w:sz w:val="32"/>
        </w:rPr>
        <w:t>与年初预算相比，</w:t>
      </w:r>
      <w:r>
        <w:rPr>
          <w:rFonts w:ascii="仿宋_GB2312" w:hAnsi="仿宋_GB2312" w:eastAsia="仿宋_GB2312"/>
          <w:b w:val="0"/>
          <w:sz w:val="32"/>
        </w:rPr>
        <w:t>年初预算数760.00万元，决算数873.36万元，预决算差异率14.92%，主要原因是：年中追加自主用工人员工资及职工干部伙食补助经费，导致预决算存在差异。</w:t>
      </w:r>
    </w:p>
    <w:p w14:paraId="45B3A8DE">
      <w:pPr>
        <w:spacing w:line="640" w:lineRule="exact"/>
        <w:ind w:firstLine="640"/>
        <w:jc w:val="both"/>
        <w:outlineLvl w:val="2"/>
      </w:pPr>
      <w:r>
        <w:rPr>
          <w:rFonts w:ascii="黑体" w:hAnsi="黑体" w:eastAsia="黑体"/>
          <w:sz w:val="32"/>
        </w:rPr>
        <w:t>五、一般公共预算财政拨款支出决算情况说明</w:t>
      </w:r>
    </w:p>
    <w:p w14:paraId="52656ABC">
      <w:pPr>
        <w:spacing w:line="640" w:lineRule="exact"/>
        <w:ind w:firstLine="640"/>
        <w:jc w:val="both"/>
        <w:outlineLvl w:val="3"/>
      </w:pPr>
      <w:r>
        <w:rPr>
          <w:rFonts w:ascii="楷体_GB2312" w:hAnsi="楷体_GB2312" w:eastAsia="楷体_GB2312"/>
          <w:b/>
          <w:sz w:val="32"/>
        </w:rPr>
        <w:t>（一）一般公共预算财政拨款支出决算总体情况</w:t>
      </w:r>
    </w:p>
    <w:p w14:paraId="28F8ECCC">
      <w:pPr>
        <w:spacing w:line="580" w:lineRule="exact"/>
        <w:ind w:firstLine="640"/>
        <w:jc w:val="both"/>
      </w:pPr>
      <w:r>
        <w:rPr>
          <w:rFonts w:ascii="仿宋_GB2312" w:hAnsi="仿宋_GB2312" w:eastAsia="仿宋_GB2312"/>
          <w:b/>
          <w:sz w:val="32"/>
        </w:rPr>
        <w:t>2024年度一般公共预算财政拨款支出873.36万元，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减少332.86万元，下降27.60%，主要原因是：一是严格落实中央八项规定精神，厉行节约，减少公务接待费；二是干部职工伙食补助较上年减少。</w:t>
      </w:r>
      <w:r>
        <w:rPr>
          <w:rFonts w:ascii="仿宋_GB2312" w:hAnsi="仿宋_GB2312" w:eastAsia="仿宋_GB2312"/>
          <w:b/>
          <w:sz w:val="32"/>
        </w:rPr>
        <w:t>与年初预算相比,</w:t>
      </w:r>
      <w:r>
        <w:rPr>
          <w:rFonts w:ascii="仿宋_GB2312" w:hAnsi="仿宋_GB2312" w:eastAsia="仿宋_GB2312"/>
          <w:b w:val="0"/>
          <w:sz w:val="32"/>
        </w:rPr>
        <w:t>年初预算数760.00万元，决算数873.36万元，预决算差异率14.92%，主要原因是：年中追加自主用工人员工资及职工干部伙食补助经费，导致预决算存在差异。</w:t>
      </w:r>
    </w:p>
    <w:p w14:paraId="00A00F0D">
      <w:pPr>
        <w:spacing w:line="640" w:lineRule="exact"/>
        <w:ind w:firstLine="640"/>
        <w:jc w:val="both"/>
        <w:outlineLvl w:val="3"/>
      </w:pPr>
      <w:r>
        <w:rPr>
          <w:rFonts w:ascii="楷体_GB2312" w:hAnsi="楷体_GB2312" w:eastAsia="楷体_GB2312"/>
          <w:b/>
          <w:sz w:val="32"/>
        </w:rPr>
        <w:t>（二）一般公共预算财政拨款支出决算结构情况</w:t>
      </w:r>
    </w:p>
    <w:p w14:paraId="65F43853">
      <w:pPr>
        <w:spacing w:line="580" w:lineRule="exact"/>
        <w:ind w:firstLine="640"/>
        <w:jc w:val="both"/>
      </w:pPr>
      <w:r>
        <w:rPr>
          <w:rFonts w:ascii="仿宋_GB2312" w:hAnsi="仿宋_GB2312" w:eastAsia="仿宋_GB2312"/>
          <w:b w:val="0"/>
          <w:sz w:val="32"/>
        </w:rPr>
        <w:t>1.一般公共服务支出(类)800.28万元,占91.63%。</w:t>
      </w:r>
    </w:p>
    <w:p w14:paraId="559BBE94">
      <w:pPr>
        <w:spacing w:line="580" w:lineRule="exact"/>
        <w:ind w:firstLine="640"/>
        <w:jc w:val="both"/>
      </w:pPr>
      <w:r>
        <w:rPr>
          <w:rFonts w:ascii="仿宋_GB2312" w:hAnsi="仿宋_GB2312" w:eastAsia="仿宋_GB2312"/>
          <w:b w:val="0"/>
          <w:sz w:val="32"/>
        </w:rPr>
        <w:t>2.社会保障和就业支出(类)40.45万元,占4.63%。</w:t>
      </w:r>
    </w:p>
    <w:p w14:paraId="6CCBBF5C">
      <w:pPr>
        <w:spacing w:line="580" w:lineRule="exact"/>
        <w:ind w:firstLine="640"/>
        <w:jc w:val="both"/>
      </w:pPr>
      <w:r>
        <w:rPr>
          <w:rFonts w:ascii="仿宋_GB2312" w:hAnsi="仿宋_GB2312" w:eastAsia="仿宋_GB2312"/>
          <w:b w:val="0"/>
          <w:sz w:val="32"/>
        </w:rPr>
        <w:t>3.卫生健康支出(类)11.66万元,占1.34%。</w:t>
      </w:r>
    </w:p>
    <w:p w14:paraId="00127063">
      <w:pPr>
        <w:spacing w:line="580" w:lineRule="exact"/>
        <w:ind w:firstLine="640"/>
        <w:jc w:val="both"/>
      </w:pPr>
      <w:r>
        <w:rPr>
          <w:rFonts w:ascii="仿宋_GB2312" w:hAnsi="仿宋_GB2312" w:eastAsia="仿宋_GB2312"/>
          <w:b w:val="0"/>
          <w:sz w:val="32"/>
        </w:rPr>
        <w:t>4.住房保障支出(类)20.97万元,占2.40%。</w:t>
      </w:r>
    </w:p>
    <w:p w14:paraId="0BF69561">
      <w:pPr>
        <w:spacing w:line="640" w:lineRule="exact"/>
        <w:ind w:firstLine="640"/>
        <w:jc w:val="both"/>
        <w:outlineLvl w:val="3"/>
      </w:pPr>
      <w:r>
        <w:rPr>
          <w:rFonts w:ascii="楷体_GB2312" w:hAnsi="楷体_GB2312" w:eastAsia="楷体_GB2312"/>
          <w:b/>
          <w:sz w:val="32"/>
        </w:rPr>
        <w:t>（三）一般公共预算财政拨款支出决算具体情况</w:t>
      </w:r>
    </w:p>
    <w:p w14:paraId="285E56C8">
      <w:pPr>
        <w:spacing w:line="580" w:lineRule="exact"/>
        <w:ind w:firstLine="640"/>
        <w:jc w:val="both"/>
      </w:pPr>
      <w:r>
        <w:rPr>
          <w:rFonts w:ascii="仿宋_GB2312" w:hAnsi="仿宋_GB2312" w:eastAsia="仿宋_GB2312"/>
          <w:b w:val="0"/>
          <w:sz w:val="32"/>
        </w:rPr>
        <w:t>1.一般公共服务支出(类)政府办公厅（室）及相关机构事务(款)机关服务(项):支出决算数为800.28万元，比上年决算减少338.10万元，下降29.70%,主要原因是：一是严格落实中央八项规定精神，厉行节约，减少公务接待费；二是干部职工伙食补助较上年减少。</w:t>
      </w:r>
    </w:p>
    <w:p w14:paraId="3E95FA41">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2.社会保障和就业支出(类)行政事业单位养老支出(款)事业单位离退休(项):支出决算数为8.19万元，比上年决算增加4.63万元，增长130.06%,主要原因是：本年增加退休人员基础绩效奖。</w:t>
      </w:r>
    </w:p>
    <w:p w14:paraId="49591FB7">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3.社会保障和就业支出(类)行政事业单位养老支出(款)机关事业单位基本养老保险缴费支出(项):支出决算数为25.98万元，比上年决算增加0.39万元，增长1.52%,主要原因是：在职人员工资调增，养老保险缴费基数增加。</w:t>
      </w:r>
    </w:p>
    <w:p w14:paraId="77C52205">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6.28万元，比上年决算减少0.71万元，下降10.16%,主要原因是：本年新增退休人员较上年减少，职业年金缴费较上年减少。</w:t>
      </w:r>
    </w:p>
    <w:p w14:paraId="58770C1B">
      <w:pPr>
        <w:spacing w:line="580" w:lineRule="exact"/>
        <w:ind w:firstLine="640"/>
        <w:jc w:val="both"/>
      </w:pPr>
      <w:r>
        <w:rPr>
          <w:rFonts w:ascii="仿宋_GB2312" w:hAnsi="仿宋_GB2312" w:eastAsia="仿宋_GB2312"/>
          <w:b w:val="0"/>
          <w:sz w:val="32"/>
        </w:rPr>
        <w:t>5.卫生健康支出(类)行政事业单位医疗(款)事业单位医疗(项):支出决算数为11.66万元，比上年决算减少0.11万元，下降0.93%,主要原因是：本年度在职人员减少，事业单位医疗较上年减少。</w:t>
      </w:r>
    </w:p>
    <w:p w14:paraId="3EF05FCD">
      <w:pPr>
        <w:spacing w:line="580" w:lineRule="exact"/>
        <w:ind w:firstLine="640"/>
        <w:jc w:val="both"/>
      </w:pPr>
      <w:r>
        <w:rPr>
          <w:rFonts w:ascii="仿宋_GB2312" w:hAnsi="仿宋_GB2312" w:eastAsia="仿宋_GB2312"/>
          <w:b w:val="0"/>
          <w:sz w:val="32"/>
        </w:rPr>
        <w:t>6.住房保障支出(类)住房改革支出(款)住房公积金(项):支出决算数为20.97万元，比上年决算增加1.03万元，增长5.17%,主要原因是：本年在职人员工资基数调增，公积金缴费基数上涨，相应支出增加。</w:t>
      </w:r>
    </w:p>
    <w:p w14:paraId="68E2004B">
      <w:pPr>
        <w:spacing w:line="640" w:lineRule="exact"/>
        <w:ind w:firstLine="640"/>
        <w:jc w:val="both"/>
        <w:outlineLvl w:val="2"/>
      </w:pPr>
      <w:r>
        <w:rPr>
          <w:rFonts w:ascii="黑体" w:hAnsi="黑体" w:eastAsia="黑体"/>
          <w:sz w:val="32"/>
        </w:rPr>
        <w:t>六、一般公共预算财政拨款基本支出决算情况说明</w:t>
      </w:r>
    </w:p>
    <w:p w14:paraId="7924DBE2">
      <w:pPr>
        <w:spacing w:line="580" w:lineRule="exact"/>
        <w:ind w:firstLine="640"/>
        <w:jc w:val="both"/>
      </w:pPr>
      <w:r>
        <w:rPr>
          <w:rFonts w:ascii="仿宋_GB2312" w:hAnsi="仿宋_GB2312" w:eastAsia="仿宋_GB2312"/>
          <w:b w:val="0"/>
          <w:sz w:val="32"/>
        </w:rPr>
        <w:t>2024年度一般公共预算财政拨款基本支出873.36万元，其中：</w:t>
      </w:r>
      <w:r>
        <w:rPr>
          <w:rFonts w:ascii="仿宋_GB2312" w:hAnsi="仿宋_GB2312" w:eastAsia="仿宋_GB2312"/>
          <w:b/>
          <w:sz w:val="32"/>
        </w:rPr>
        <w:t>人员经费306.38万元，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包括：基本工资、津贴补贴、奖金、机关事业单位基本养老保险缴费、职业年金缴费、职工基本医疗保险缴费、其他社会保障缴费、住房公积金、退休费、生活补助、奖励金。</w:t>
      </w:r>
    </w:p>
    <w:p w14:paraId="124368CA">
      <w:pPr>
        <w:spacing w:line="580" w:lineRule="exact"/>
        <w:ind w:firstLine="640"/>
        <w:jc w:val="both"/>
      </w:pPr>
      <w:r>
        <w:rPr>
          <w:rFonts w:ascii="仿宋_GB2312" w:hAnsi="仿宋_GB2312" w:eastAsia="仿宋_GB2312"/>
          <w:b/>
          <w:sz w:val="32"/>
        </w:rPr>
        <w:t>公用经费566.98万元，</w:t>
      </w:r>
      <w:r>
        <w:rPr>
          <w:rFonts w:ascii="仿宋_GB2312" w:hAnsi="仿宋_GB2312" w:eastAsia="仿宋_GB2312"/>
          <w:b w:val="0"/>
          <w:sz w:val="32"/>
        </w:rPr>
        <w:t>包括：办公费、手续费、电费、邮电费、取暖费、差旅费、租赁费、公务接待费、工会经费、公务用车运行维护费、办公设备购置。</w:t>
      </w:r>
    </w:p>
    <w:p w14:paraId="02191385">
      <w:pPr>
        <w:spacing w:line="640" w:lineRule="exact"/>
        <w:ind w:firstLine="640"/>
        <w:jc w:val="both"/>
        <w:outlineLvl w:val="2"/>
      </w:pPr>
      <w:r>
        <w:rPr>
          <w:rFonts w:ascii="黑体" w:hAnsi="黑体" w:eastAsia="黑体"/>
          <w:sz w:val="32"/>
        </w:rPr>
        <w:t>七、政府性基金预算财政拨款收入支出决算情况说明</w:t>
      </w:r>
    </w:p>
    <w:p w14:paraId="7DD9A99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6B419DD">
      <w:pPr>
        <w:spacing w:line="640" w:lineRule="exact"/>
        <w:ind w:firstLine="640"/>
        <w:jc w:val="both"/>
        <w:outlineLvl w:val="2"/>
      </w:pPr>
      <w:r>
        <w:rPr>
          <w:rFonts w:ascii="黑体" w:hAnsi="黑体" w:eastAsia="黑体"/>
          <w:sz w:val="32"/>
        </w:rPr>
        <w:t>八、国有资本经营预算财政拨款收入支出决算情况说明</w:t>
      </w:r>
    </w:p>
    <w:p w14:paraId="0579AC3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A762B19">
      <w:pPr>
        <w:spacing w:line="640" w:lineRule="exact"/>
        <w:ind w:firstLine="640"/>
        <w:jc w:val="both"/>
        <w:outlineLvl w:val="2"/>
      </w:pPr>
      <w:r>
        <w:rPr>
          <w:rFonts w:ascii="黑体" w:hAnsi="黑体" w:eastAsia="黑体"/>
          <w:sz w:val="32"/>
        </w:rPr>
        <w:t>九、财政拨款“三公”经费支出决算情况说明</w:t>
      </w:r>
    </w:p>
    <w:p w14:paraId="484D1B3F">
      <w:pPr>
        <w:spacing w:line="580" w:lineRule="exact"/>
        <w:ind w:firstLine="640"/>
        <w:jc w:val="both"/>
      </w:pPr>
      <w:r>
        <w:rPr>
          <w:rFonts w:ascii="仿宋_GB2312" w:hAnsi="仿宋_GB2312" w:eastAsia="仿宋_GB2312"/>
          <w:b/>
          <w:sz w:val="32"/>
        </w:rPr>
        <w:t>2024年度财政拨款“三公”经费支出303.70万元，</w:t>
      </w:r>
      <w:r>
        <w:rPr>
          <w:rFonts w:ascii="仿宋_GB2312" w:hAnsi="仿宋_GB2312" w:eastAsia="仿宋_GB2312"/>
          <w:b w:val="0"/>
          <w:sz w:val="32"/>
        </w:rPr>
        <w:t>比上年减少69.96万元，下降18.72%，主要原因是：严格落实中央八项规定精神，厉行节约，减少公务接待费。其中：因公出国（境）费支出0.00万元，占0.00%，比上年增加0.00万元，增长0.00%，主要原因是：2023年与2024年均未安排因公出国（境）费支出。公务用车购置及运行维护费支出153.70万元，占50.61%，比上年增加9.64万元，增长6.69%，主要原因是：本单位公务用车日渐老化，维修维护成本增加，导致公务用车运行维护费较上年增加。公务接待费支出150.00万元，占49.39%，比上年减少79.60万元，下降34.67%，主要原因是：严格落实中央八项规定精神，厉行节约，减少公务接待费。</w:t>
      </w:r>
    </w:p>
    <w:p w14:paraId="510DC5D1">
      <w:pPr>
        <w:spacing w:line="580" w:lineRule="exact"/>
        <w:ind w:firstLine="640"/>
        <w:jc w:val="both"/>
      </w:pPr>
      <w:r>
        <w:rPr>
          <w:rFonts w:ascii="仿宋_GB2312" w:hAnsi="仿宋_GB2312" w:eastAsia="仿宋_GB2312"/>
          <w:b/>
          <w:sz w:val="32"/>
        </w:rPr>
        <w:t>具体情况如下：</w:t>
      </w:r>
    </w:p>
    <w:p w14:paraId="56EFFFE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05B43D2">
      <w:pPr>
        <w:spacing w:line="580" w:lineRule="exact"/>
        <w:ind w:firstLine="640"/>
        <w:jc w:val="both"/>
      </w:pPr>
      <w:r>
        <w:rPr>
          <w:rFonts w:ascii="仿宋_GB2312" w:hAnsi="仿宋_GB2312" w:eastAsia="仿宋_GB2312"/>
          <w:b w:val="0"/>
          <w:sz w:val="32"/>
        </w:rPr>
        <w:t>公务用车购置及运行维护费153.70万元，其中：公务用车购置费0.00万元，公务用车运行维护费153.70万元。公务用车运行维护费开支内容包括车辆加油费、维修费、保险费。公务用车购置数0辆，公务用车保有量62辆。国有资产占用情况中固定资产车辆1辆，与公务用车保有量差异原因是：差异车辆为县委办，政府办，人大，政协车辆由我单位统一</w:t>
      </w:r>
      <w:r>
        <w:rPr>
          <w:rFonts w:hint="eastAsia" w:ascii="仿宋_GB2312" w:hAnsi="仿宋_GB2312" w:eastAsia="仿宋_GB2312"/>
          <w:b w:val="0"/>
          <w:sz w:val="32"/>
          <w:lang w:val="en-US" w:eastAsia="zh-CN"/>
        </w:rPr>
        <w:t>管理</w:t>
      </w:r>
      <w:r>
        <w:rPr>
          <w:rFonts w:ascii="仿宋_GB2312" w:hAnsi="仿宋_GB2312" w:eastAsia="仿宋_GB2312"/>
          <w:b w:val="0"/>
          <w:sz w:val="32"/>
        </w:rPr>
        <w:t>。</w:t>
      </w:r>
    </w:p>
    <w:p w14:paraId="27B516BC">
      <w:pPr>
        <w:spacing w:line="580" w:lineRule="exact"/>
        <w:ind w:firstLine="640"/>
        <w:jc w:val="both"/>
      </w:pPr>
      <w:r>
        <w:rPr>
          <w:rFonts w:ascii="仿宋_GB2312" w:hAnsi="仿宋_GB2312" w:eastAsia="仿宋_GB2312"/>
          <w:b w:val="0"/>
          <w:sz w:val="32"/>
        </w:rPr>
        <w:t>公务接待费150.00万元，开支内容包括接待上级领导检查产生的就餐费。单位全年安排的国内公务接待980批次，14,500人次。</w:t>
      </w:r>
    </w:p>
    <w:p w14:paraId="3B1B8FE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303.70万元，决算数303.70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153.70万元，决算数153.70万元，预决算差异率0.00%，主要原因是：严格按照预算执行，预决算无差异。公务接待费全年预算数150.00万元，决算数150.00万元，预决算差异率0.00%，主要原因是：严格按照预算执行，预决算无差异。</w:t>
      </w:r>
    </w:p>
    <w:p w14:paraId="0452E16E">
      <w:pPr>
        <w:spacing w:line="640" w:lineRule="exact"/>
        <w:ind w:firstLine="640"/>
        <w:jc w:val="both"/>
        <w:outlineLvl w:val="2"/>
      </w:pPr>
      <w:r>
        <w:rPr>
          <w:rFonts w:ascii="黑体" w:hAnsi="黑体" w:eastAsia="黑体"/>
          <w:sz w:val="32"/>
        </w:rPr>
        <w:t>十、其他重要事项的情况说明</w:t>
      </w:r>
    </w:p>
    <w:p w14:paraId="5CC3B949">
      <w:pPr>
        <w:spacing w:line="640" w:lineRule="exact"/>
        <w:ind w:firstLine="640"/>
        <w:jc w:val="both"/>
        <w:outlineLvl w:val="3"/>
      </w:pPr>
      <w:r>
        <w:rPr>
          <w:rFonts w:ascii="楷体_GB2312" w:hAnsi="楷体_GB2312" w:eastAsia="楷体_GB2312"/>
          <w:b/>
          <w:sz w:val="32"/>
        </w:rPr>
        <w:t>（一）机关运行经费及公用经费支出情况</w:t>
      </w:r>
    </w:p>
    <w:p w14:paraId="7E2630B1">
      <w:pPr>
        <w:spacing w:line="580" w:lineRule="exact"/>
        <w:ind w:firstLine="640"/>
        <w:jc w:val="both"/>
      </w:pPr>
      <w:r>
        <w:rPr>
          <w:rFonts w:ascii="仿宋_GB2312" w:hAnsi="仿宋_GB2312" w:eastAsia="仿宋_GB2312"/>
          <w:b w:val="0"/>
          <w:sz w:val="32"/>
        </w:rPr>
        <w:t>2024年度且末县机关事务中心（事业单位）公用经费支出566.98万元，比上年减少246.64万元，下降30.31%，主要原因是：严格落实中央八项规定精神，厉行节约，减少公务接待费。</w:t>
      </w:r>
    </w:p>
    <w:p w14:paraId="375850CF">
      <w:pPr>
        <w:spacing w:line="640" w:lineRule="exact"/>
        <w:ind w:firstLine="640"/>
        <w:jc w:val="both"/>
        <w:outlineLvl w:val="3"/>
      </w:pPr>
      <w:r>
        <w:rPr>
          <w:rFonts w:ascii="楷体_GB2312" w:hAnsi="楷体_GB2312" w:eastAsia="楷体_GB2312"/>
          <w:b/>
          <w:sz w:val="32"/>
        </w:rPr>
        <w:t>（二）政府采购情况</w:t>
      </w:r>
    </w:p>
    <w:p w14:paraId="365E4E8C">
      <w:pPr>
        <w:spacing w:line="580" w:lineRule="exact"/>
        <w:ind w:firstLine="640"/>
        <w:jc w:val="both"/>
      </w:pPr>
      <w:r>
        <w:rPr>
          <w:rFonts w:ascii="仿宋_GB2312" w:hAnsi="仿宋_GB2312" w:eastAsia="仿宋_GB2312"/>
          <w:b w:val="0"/>
          <w:sz w:val="32"/>
        </w:rPr>
        <w:t>2024年度政府采购支出总额103.51万元，其中：政府采购货物支出3.78万元、政府采购工程支出0.00万元、政府采购服务支出99.74万元。</w:t>
      </w:r>
    </w:p>
    <w:p w14:paraId="233F45A0">
      <w:pPr>
        <w:spacing w:line="580" w:lineRule="exact"/>
        <w:ind w:firstLine="640"/>
        <w:jc w:val="both"/>
      </w:pPr>
      <w:r>
        <w:rPr>
          <w:rFonts w:ascii="仿宋_GB2312" w:hAnsi="仿宋_GB2312" w:eastAsia="仿宋_GB2312"/>
          <w:b w:val="0"/>
          <w:sz w:val="32"/>
        </w:rPr>
        <w:t>授予中小企业合同金额95.31万元，占政府采购支出总额的92.08%，其中：授予小微企业合同金额94.66万元，占政府采购支出总额的91.45%。</w:t>
      </w:r>
    </w:p>
    <w:p w14:paraId="2B44C1ED">
      <w:pPr>
        <w:spacing w:line="640" w:lineRule="exact"/>
        <w:ind w:firstLine="640"/>
        <w:jc w:val="both"/>
        <w:outlineLvl w:val="3"/>
      </w:pPr>
      <w:r>
        <w:rPr>
          <w:rFonts w:ascii="楷体_GB2312" w:hAnsi="楷体_GB2312" w:eastAsia="楷体_GB2312"/>
          <w:b/>
          <w:sz w:val="32"/>
        </w:rPr>
        <w:t>（三）国有资产占用情况说明</w:t>
      </w:r>
    </w:p>
    <w:p w14:paraId="6B91D125">
      <w:pPr>
        <w:spacing w:line="580" w:lineRule="exact"/>
        <w:ind w:firstLine="640"/>
        <w:jc w:val="both"/>
      </w:pPr>
      <w:r>
        <w:rPr>
          <w:rFonts w:ascii="仿宋_GB2312" w:hAnsi="仿宋_GB2312" w:eastAsia="仿宋_GB2312"/>
          <w:b w:val="0"/>
          <w:sz w:val="32"/>
        </w:rPr>
        <w:t>截至2024年12月31日，房屋13,051.00平方米，价值3,461.60万元。车辆1辆，价值32.97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1台（套）。</w:t>
      </w:r>
    </w:p>
    <w:p w14:paraId="08F0B5EC">
      <w:pPr>
        <w:spacing w:line="640" w:lineRule="exact"/>
        <w:ind w:firstLine="640"/>
        <w:jc w:val="both"/>
        <w:outlineLvl w:val="2"/>
      </w:pPr>
      <w:r>
        <w:rPr>
          <w:rFonts w:ascii="黑体" w:hAnsi="黑体" w:eastAsia="黑体"/>
          <w:sz w:val="32"/>
        </w:rPr>
        <w:t>十一、预算绩效的情况说明</w:t>
      </w:r>
    </w:p>
    <w:p w14:paraId="13BF810E">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873.36万元，实际执行总额873.36万元；预算绩效评价项目1个，全年预算数47.60万元，全年执行数35.70万元。预算绩效管理取得的成效：一是通过对预算项目进行事前绩效评估，能够识别出高价值的项目和活动，将有限的财政资金优先分配到最需要的领域，提高资源配置的合理性和有效性；二是加强成本控制。预算绩效管理要求对项目的成本进行严格核算和控制。在项目实施过程中，通过对成本的实时监控和分析，及时发现并纠正成本超支的问题，确保</w:t>
      </w:r>
      <w:r>
        <w:rPr>
          <w:rFonts w:hint="eastAsia" w:ascii="仿宋_GB2312" w:hAnsi="仿宋_GB2312" w:eastAsia="仿宋_GB2312"/>
          <w:b w:val="0"/>
          <w:sz w:val="32"/>
          <w:lang w:eastAsia="zh-CN"/>
        </w:rPr>
        <w:t>财政资金使用</w:t>
      </w:r>
      <w:r>
        <w:rPr>
          <w:rFonts w:ascii="仿宋_GB2312" w:hAnsi="仿宋_GB2312" w:eastAsia="仿宋_GB2312"/>
          <w:b w:val="0"/>
          <w:sz w:val="32"/>
        </w:rPr>
        <w:t>不超出预算范围。发现的问题及原因：一是绩效目标设定不科学。在设定绩效目标时，表述过于笼统、模糊，缺乏明确的可衡量指标；二是绩效意识淡薄领导重视不够。领导对预算绩效管理工作重视程度不够，没有将其纳入重要议事日程。在工作安排和资源配置上，对预算绩效管理工作支持力度不足。存在以上问题的原因主要是由于执行管理不完善导致的。虽然制定了预算绩效管理制度，但在实际执行过程中，存在执行不到位的情况。例如，对绩效目标的审核、监控、评价等环节流于形式，没有真正发挥制度的约束作用。下一步改进措施：一是完善绩效管理制度体系：进一步细化和完善预算绩效管理制度，明确各环节的操作流程、职责分工和质量标准，使绩效管理工作有章可循。二是提高目标设定的科学性和合理性：加强对预算单位绩效目标设定的培训和指导，使其掌握科学的目标设定方法和技巧。三是拓宽绩效评价的范围：逐步将所有预算项目和资金纳入绩效评价范围，实现全覆盖。不仅包括财政专项资金，还应涵盖部门整体支出、政府购买服务项目等。具体附整体支出绩效自评表，项目支出绩效自评表。</w:t>
      </w:r>
    </w:p>
    <w:p w14:paraId="689B1FE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F9C8C9F">
        <w:tblPrEx>
          <w:tblCellMar>
            <w:top w:w="0" w:type="dxa"/>
            <w:left w:w="108" w:type="dxa"/>
            <w:bottom w:w="0" w:type="dxa"/>
            <w:right w:w="108" w:type="dxa"/>
          </w:tblCellMar>
        </w:tblPrEx>
        <w:tc>
          <w:tcPr>
            <w:tcW w:w="8847" w:type="dxa"/>
            <w:gridSpan w:val="9"/>
            <w:vAlign w:val="center"/>
          </w:tcPr>
          <w:p w14:paraId="5645AB4B">
            <w:pPr>
              <w:jc w:val="center"/>
            </w:pPr>
            <w:r>
              <w:rPr>
                <w:rFonts w:ascii="宋体" w:hAnsi="宋体" w:eastAsia="宋体"/>
                <w:sz w:val="24"/>
              </w:rPr>
              <w:t>单位整体支出绩效自评表</w:t>
            </w:r>
          </w:p>
        </w:tc>
      </w:tr>
      <w:tr w14:paraId="1E8A4AA7">
        <w:tblPrEx>
          <w:tblCellMar>
            <w:top w:w="0" w:type="dxa"/>
            <w:left w:w="108" w:type="dxa"/>
            <w:bottom w:w="0" w:type="dxa"/>
            <w:right w:w="108" w:type="dxa"/>
          </w:tblCellMar>
        </w:tblPrEx>
        <w:tc>
          <w:tcPr>
            <w:tcW w:w="8847" w:type="dxa"/>
            <w:gridSpan w:val="9"/>
            <w:vAlign w:val="center"/>
          </w:tcPr>
          <w:p w14:paraId="73FEEF74">
            <w:pPr>
              <w:jc w:val="center"/>
            </w:pPr>
            <w:r>
              <w:rPr>
                <w:rFonts w:ascii="宋体" w:hAnsi="宋体" w:eastAsia="宋体"/>
                <w:sz w:val="24"/>
              </w:rPr>
              <w:t>（2024年度）</w:t>
            </w:r>
          </w:p>
        </w:tc>
      </w:tr>
      <w:tr w14:paraId="43A456E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462E1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FBCC24B">
            <w:pPr>
              <w:jc w:val="center"/>
            </w:pPr>
            <w:r>
              <w:rPr>
                <w:rFonts w:ascii="宋体" w:hAnsi="宋体" w:eastAsia="宋体"/>
                <w:sz w:val="16"/>
              </w:rPr>
              <w:t>且末县机关事务中心</w:t>
            </w:r>
          </w:p>
        </w:tc>
      </w:tr>
      <w:tr w14:paraId="051CC7F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4603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53229">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D1359B">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D76C0E">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C8C68">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88C9D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F4BE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084C0">
            <w:pPr>
              <w:jc w:val="center"/>
            </w:pPr>
            <w:r>
              <w:rPr>
                <w:rFonts w:ascii="宋体" w:hAnsi="宋体" w:eastAsia="宋体"/>
                <w:sz w:val="16"/>
              </w:rPr>
              <w:t>得分</w:t>
            </w:r>
          </w:p>
        </w:tc>
      </w:tr>
      <w:tr w14:paraId="1F35CE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DB526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46C941">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DD94D6">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1DBC4">
            <w:pPr>
              <w:jc w:val="center"/>
            </w:pPr>
            <w:r>
              <w:rPr>
                <w:rFonts w:ascii="宋体" w:hAnsi="宋体" w:eastAsia="宋体"/>
                <w:sz w:val="16"/>
              </w:rPr>
              <w:t>760.00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B4845">
            <w:pPr>
              <w:jc w:val="center"/>
            </w:pPr>
            <w:r>
              <w:rPr>
                <w:rFonts w:ascii="宋体" w:hAnsi="宋体" w:eastAsia="宋体"/>
                <w:sz w:val="16"/>
              </w:rPr>
              <w:t>873.36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7C38B">
            <w:pPr>
              <w:jc w:val="center"/>
            </w:pPr>
            <w:r>
              <w:rPr>
                <w:rFonts w:ascii="宋体" w:hAnsi="宋体" w:eastAsia="宋体"/>
                <w:sz w:val="16"/>
              </w:rPr>
              <w:t>873.36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26DD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E2C5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A1756">
            <w:pPr>
              <w:jc w:val="center"/>
            </w:pPr>
            <w:r>
              <w:rPr>
                <w:rFonts w:ascii="宋体" w:hAnsi="宋体" w:eastAsia="宋体"/>
                <w:sz w:val="16"/>
              </w:rPr>
              <w:t>10</w:t>
            </w:r>
          </w:p>
        </w:tc>
      </w:tr>
      <w:tr w14:paraId="631922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4D03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C93B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889674">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E5B5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D50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C3DF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026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921C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949E4">
            <w:pPr>
              <w:jc w:val="center"/>
            </w:pPr>
            <w:r>
              <w:rPr>
                <w:rFonts w:ascii="宋体" w:hAnsi="宋体" w:eastAsia="宋体"/>
                <w:sz w:val="16"/>
              </w:rPr>
              <w:t>-</w:t>
            </w:r>
          </w:p>
        </w:tc>
      </w:tr>
      <w:tr w14:paraId="3AD67E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78DB3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A1E75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2AEC2">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DB15A">
            <w:pPr>
              <w:jc w:val="center"/>
            </w:pPr>
            <w:r>
              <w:rPr>
                <w:rFonts w:ascii="宋体" w:hAnsi="宋体" w:eastAsia="宋体"/>
                <w:sz w:val="16"/>
              </w:rPr>
              <w:t>760.00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CDA30F">
            <w:pPr>
              <w:jc w:val="center"/>
            </w:pPr>
            <w:r>
              <w:rPr>
                <w:rFonts w:ascii="宋体" w:hAnsi="宋体" w:eastAsia="宋体"/>
                <w:sz w:val="16"/>
              </w:rPr>
              <w:t>873.36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7C34A">
            <w:pPr>
              <w:jc w:val="center"/>
            </w:pPr>
            <w:r>
              <w:rPr>
                <w:rFonts w:ascii="宋体" w:hAnsi="宋体" w:eastAsia="宋体"/>
                <w:sz w:val="16"/>
              </w:rPr>
              <w:t>873.36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5E7D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F5EF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5FADD5">
            <w:pPr>
              <w:jc w:val="center"/>
            </w:pPr>
            <w:r>
              <w:rPr>
                <w:rFonts w:ascii="宋体" w:hAnsi="宋体" w:eastAsia="宋体"/>
                <w:sz w:val="16"/>
              </w:rPr>
              <w:t>-</w:t>
            </w:r>
          </w:p>
        </w:tc>
      </w:tr>
      <w:tr w14:paraId="369CDB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1FD9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BAA21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96755">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8DF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11298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2113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91A6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C58C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81FCE">
            <w:pPr>
              <w:jc w:val="center"/>
            </w:pPr>
            <w:r>
              <w:rPr>
                <w:rFonts w:ascii="宋体" w:hAnsi="宋体" w:eastAsia="宋体"/>
                <w:sz w:val="16"/>
              </w:rPr>
              <w:t>-</w:t>
            </w:r>
          </w:p>
        </w:tc>
      </w:tr>
      <w:tr w14:paraId="5DD9832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DFD55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52EEFC">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804C14">
            <w:pPr>
              <w:jc w:val="center"/>
            </w:pPr>
            <w:r>
              <w:rPr>
                <w:rFonts w:ascii="宋体" w:hAnsi="宋体" w:eastAsia="宋体"/>
                <w:sz w:val="16"/>
              </w:rPr>
              <w:t>实际完成情况</w:t>
            </w:r>
          </w:p>
        </w:tc>
      </w:tr>
      <w:tr w14:paraId="46F9CD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28690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71D2680">
            <w:pPr>
              <w:jc w:val="both"/>
            </w:pPr>
            <w:r>
              <w:rPr>
                <w:rFonts w:ascii="宋体" w:hAnsi="宋体" w:eastAsia="宋体"/>
                <w:sz w:val="16"/>
              </w:rPr>
              <w:t>目标1：以习近平新时代中国特色社会主义思想为指导，贯彻落实国家、自治区、州有关机关事务工作的 方针政策和法律、法规、规章，研究拟订县机关事务工作的具体规定和办法并组织实施</w:t>
            </w:r>
            <w:r>
              <w:rPr>
                <w:rFonts w:hint="eastAsia" w:ascii="宋体" w:hAnsi="宋体"/>
                <w:sz w:val="16"/>
                <w:lang w:eastAsia="zh-CN"/>
              </w:rPr>
              <w:t>。</w:t>
            </w:r>
            <w:r>
              <w:rPr>
                <w:rFonts w:ascii="宋体" w:hAnsi="宋体" w:eastAsia="宋体"/>
                <w:sz w:val="16"/>
              </w:rPr>
              <w:t>目标2：指导和协调县级各部门机关事务管理工作；3：负责全县公共机构节能工作，会同有关部门 制定规划、相关制度并组织实施；目标4:负责全县公务用车计划的编制和车辆配备、 购置和更新报废的申报审核及车辆资料的管 理工作；目标5：负责全县党政机关办公用房的规划、权属、 配置、使用、维修审批、处置等管理工作；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EB289A">
            <w:pPr>
              <w:jc w:val="both"/>
            </w:pPr>
            <w:r>
              <w:rPr>
                <w:rFonts w:ascii="宋体" w:hAnsi="宋体" w:eastAsia="宋体"/>
                <w:sz w:val="16"/>
              </w:rPr>
              <w:t>2024年且末县机关事务中心年初预算数760万元，全年执行数873.76万元， 基本支出保障经费最终完成值431.08万元，建立全县机关事务管理信息化系统最终完成了1套，公务接待费用最终完成值150万元，2024年公务接待720批次，6591人次，餐次任3857次，基本完成了且末县全年的公务接待任务。全县公共机构节能统计工作最终完成 119家有效促进了公共节能减排工作的落实节约了能耗资源</w:t>
            </w:r>
            <w:r>
              <w:rPr>
                <w:rFonts w:hint="eastAsia" w:ascii="宋体" w:hAnsi="宋体"/>
                <w:sz w:val="16"/>
                <w:lang w:eastAsia="zh-CN"/>
              </w:rPr>
              <w:t>，</w:t>
            </w:r>
            <w:r>
              <w:rPr>
                <w:rFonts w:ascii="宋体" w:hAnsi="宋体" w:eastAsia="宋体"/>
                <w:sz w:val="16"/>
              </w:rPr>
              <w:t>办公用房信息统计最终完成36家，2024通过行政事业单位办公用房统计、调剂、产权确定等工作的开展，有效提高办公用房的使用率。公务用车处置最终完成4辆，公务车辆使用更加规范有效节约用车成本。满意度指标统计单位及职工满意度，最终完成95%。</w:t>
            </w:r>
          </w:p>
        </w:tc>
      </w:tr>
      <w:tr w14:paraId="54F4696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3356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9149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0D4A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10C8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C167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921B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93DAD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002BC">
            <w:pPr>
              <w:jc w:val="center"/>
            </w:pPr>
            <w:r>
              <w:rPr>
                <w:rFonts w:ascii="宋体" w:hAnsi="宋体" w:eastAsia="宋体"/>
                <w:sz w:val="16"/>
              </w:rPr>
              <w:t>得分</w:t>
            </w:r>
          </w:p>
        </w:tc>
      </w:tr>
      <w:tr w14:paraId="09C2542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1FB51F">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7732FB">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774FB">
            <w:pPr>
              <w:jc w:val="center"/>
            </w:pPr>
            <w:r>
              <w:rPr>
                <w:rFonts w:ascii="宋体" w:hAnsi="宋体" w:eastAsia="宋体"/>
                <w:sz w:val="16"/>
              </w:rPr>
              <w:t>资产盘点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3BED3D">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F3799">
            <w:pPr>
              <w:jc w:val="center"/>
            </w:pPr>
            <w:r>
              <w:rPr>
                <w:rFonts w:ascii="宋体" w:hAnsi="宋体" w:eastAsia="宋体"/>
                <w:sz w:val="16"/>
              </w:rPr>
              <w:t>2024年部门工作计划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D453C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AAEE1D">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4C727B">
            <w:pPr>
              <w:jc w:val="center"/>
            </w:pPr>
            <w:r>
              <w:rPr>
                <w:rFonts w:ascii="宋体" w:hAnsi="宋体" w:eastAsia="宋体"/>
                <w:sz w:val="16"/>
              </w:rPr>
              <w:t>10</w:t>
            </w:r>
          </w:p>
        </w:tc>
      </w:tr>
      <w:tr w14:paraId="406726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F873C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1452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A158B">
            <w:pPr>
              <w:jc w:val="center"/>
            </w:pPr>
            <w:r>
              <w:rPr>
                <w:rFonts w:ascii="宋体" w:hAnsi="宋体" w:eastAsia="宋体"/>
                <w:sz w:val="16"/>
              </w:rPr>
              <w:t>基本支出保障经费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26C60">
            <w:pPr>
              <w:jc w:val="center"/>
            </w:pPr>
            <w:r>
              <w:rPr>
                <w:rFonts w:ascii="宋体" w:hAnsi="宋体" w:eastAsia="宋体"/>
                <w:sz w:val="16"/>
              </w:rPr>
              <w:t>&lt;=530万元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528CF">
            <w:pPr>
              <w:jc w:val="center"/>
            </w:pPr>
            <w:r>
              <w:rPr>
                <w:rFonts w:ascii="宋体" w:hAnsi="宋体" w:eastAsia="宋体"/>
                <w:sz w:val="16"/>
              </w:rPr>
              <w:t>且财预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26F4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A2C31">
            <w:pPr>
              <w:jc w:val="center"/>
            </w:pPr>
            <w:r>
              <w:rPr>
                <w:rFonts w:ascii="宋体" w:hAnsi="宋体" w:eastAsia="宋体"/>
                <w:sz w:val="16"/>
              </w:rPr>
              <w:t>431.08万元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4073B">
            <w:pPr>
              <w:jc w:val="center"/>
            </w:pPr>
            <w:r>
              <w:rPr>
                <w:rFonts w:ascii="宋体" w:hAnsi="宋体" w:eastAsia="宋体"/>
                <w:sz w:val="16"/>
              </w:rPr>
              <w:t>11.85</w:t>
            </w:r>
          </w:p>
        </w:tc>
      </w:tr>
      <w:tr w14:paraId="2EE297D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D7E7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B7928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1A492">
            <w:pPr>
              <w:jc w:val="center"/>
            </w:pPr>
            <w:r>
              <w:rPr>
                <w:rFonts w:ascii="宋体" w:hAnsi="宋体" w:eastAsia="宋体"/>
                <w:sz w:val="16"/>
              </w:rPr>
              <w:t>公务接待费用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207FB">
            <w:pPr>
              <w:jc w:val="center"/>
            </w:pPr>
            <w:r>
              <w:rPr>
                <w:rFonts w:ascii="宋体" w:hAnsi="宋体" w:eastAsia="宋体"/>
                <w:sz w:val="16"/>
              </w:rPr>
              <w:t>&lt;=230万元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F0C1E4">
            <w:pPr>
              <w:jc w:val="center"/>
            </w:pPr>
            <w:r>
              <w:rPr>
                <w:rFonts w:ascii="宋体" w:hAnsi="宋体" w:eastAsia="宋体"/>
                <w:sz w:val="16"/>
              </w:rPr>
              <w:t>且财预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B278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74B63">
            <w:pPr>
              <w:jc w:val="center"/>
            </w:pPr>
            <w:r>
              <w:rPr>
                <w:rFonts w:ascii="宋体" w:hAnsi="宋体" w:eastAsia="宋体"/>
                <w:sz w:val="16"/>
              </w:rPr>
              <w:t>150万元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F7F2D">
            <w:pPr>
              <w:jc w:val="center"/>
            </w:pPr>
            <w:r>
              <w:rPr>
                <w:rFonts w:ascii="宋体" w:hAnsi="宋体" w:eastAsia="宋体"/>
                <w:sz w:val="16"/>
              </w:rPr>
              <w:t>9.75</w:t>
            </w:r>
          </w:p>
        </w:tc>
      </w:tr>
      <w:tr w14:paraId="7D2CE53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B8ABF">
            <w:pPr>
              <w:jc w:val="center"/>
            </w:pPr>
            <w:r>
              <w:rPr>
                <w:rFonts w:ascii="宋体" w:hAnsi="宋体" w:eastAsia="宋体"/>
                <w:sz w:val="16"/>
              </w:rPr>
              <w:t>管理效率</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1A070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ECC1F">
            <w:pPr>
              <w:jc w:val="center"/>
            </w:pPr>
            <w:r>
              <w:rPr>
                <w:rFonts w:ascii="宋体" w:hAnsi="宋体" w:eastAsia="宋体"/>
                <w:sz w:val="16"/>
              </w:rPr>
              <w:t>全县公共机构节能统计工作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E2D78">
            <w:pPr>
              <w:jc w:val="center"/>
            </w:pPr>
            <w:r>
              <w:rPr>
                <w:rFonts w:ascii="宋体" w:hAnsi="宋体" w:eastAsia="宋体"/>
                <w:sz w:val="16"/>
              </w:rPr>
              <w:t>&gt;=119家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D05147">
            <w:pPr>
              <w:jc w:val="center"/>
            </w:pPr>
            <w:r>
              <w:rPr>
                <w:rFonts w:hint="eastAsia" w:ascii="宋体" w:hAnsi="宋体"/>
                <w:sz w:val="16"/>
                <w:lang w:eastAsia="zh-CN"/>
              </w:rPr>
              <w:t>工作室</w:t>
            </w:r>
            <w:r>
              <w:rPr>
                <w:rFonts w:ascii="宋体" w:hAnsi="宋体" w:eastAsia="宋体"/>
                <w:sz w:val="16"/>
              </w:rPr>
              <w:t>关于印发《自治区深入开展公共机构绿色低碳引领行动促进碳达峰实施方案》的通知新管发</w:t>
            </w:r>
            <w:r>
              <w:rPr>
                <w:rFonts w:hint="eastAsia" w:ascii="宋体" w:hAnsi="宋体"/>
                <w:sz w:val="16"/>
                <w:lang w:eastAsia="zh-CN"/>
              </w:rPr>
              <w:t>〔2022〕51号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687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678F2">
            <w:pPr>
              <w:jc w:val="center"/>
            </w:pPr>
            <w:r>
              <w:rPr>
                <w:rFonts w:ascii="宋体" w:hAnsi="宋体" w:eastAsia="宋体"/>
                <w:sz w:val="16"/>
              </w:rPr>
              <w:t>119家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7700D">
            <w:pPr>
              <w:jc w:val="center"/>
            </w:pPr>
            <w:r>
              <w:rPr>
                <w:rFonts w:ascii="宋体" w:hAnsi="宋体" w:eastAsia="宋体"/>
                <w:sz w:val="16"/>
              </w:rPr>
              <w:t>10</w:t>
            </w:r>
          </w:p>
        </w:tc>
      </w:tr>
      <w:tr w14:paraId="7C11FC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3C29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866B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747F1">
            <w:pPr>
              <w:jc w:val="center"/>
            </w:pPr>
            <w:r>
              <w:rPr>
                <w:rFonts w:ascii="宋体" w:hAnsi="宋体" w:eastAsia="宋体"/>
                <w:sz w:val="16"/>
              </w:rPr>
              <w:t>办公用房信息统计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2E4B0">
            <w:pPr>
              <w:jc w:val="center"/>
            </w:pPr>
            <w:r>
              <w:rPr>
                <w:rFonts w:ascii="宋体" w:hAnsi="宋体" w:eastAsia="宋体"/>
                <w:sz w:val="16"/>
              </w:rPr>
              <w:t>&gt;=46家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8361B">
            <w:pPr>
              <w:jc w:val="center"/>
            </w:pPr>
            <w:r>
              <w:rPr>
                <w:rFonts w:ascii="宋体" w:hAnsi="宋体" w:eastAsia="宋体"/>
                <w:sz w:val="16"/>
              </w:rPr>
              <w:t>根据《党政机关办公用房管理办法》(中办发〔2017〕70号)、《新疆维吾尔自治区党政机关办公用房管理办法》(新党办发〔2018〕66号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360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0FD6E">
            <w:pPr>
              <w:jc w:val="center"/>
            </w:pPr>
            <w:r>
              <w:rPr>
                <w:rFonts w:ascii="宋体" w:hAnsi="宋体" w:eastAsia="宋体"/>
                <w:sz w:val="16"/>
              </w:rPr>
              <w:t>36家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0CAE2">
            <w:pPr>
              <w:jc w:val="center"/>
            </w:pPr>
            <w:r>
              <w:rPr>
                <w:rFonts w:ascii="宋体" w:hAnsi="宋体" w:eastAsia="宋体"/>
                <w:sz w:val="16"/>
              </w:rPr>
              <w:t>7.8</w:t>
            </w:r>
          </w:p>
        </w:tc>
      </w:tr>
      <w:tr w14:paraId="153E18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6034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F9E07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53885">
            <w:pPr>
              <w:jc w:val="center"/>
            </w:pPr>
            <w:r>
              <w:rPr>
                <w:rFonts w:ascii="宋体" w:hAnsi="宋体" w:eastAsia="宋体"/>
                <w:sz w:val="16"/>
              </w:rPr>
              <w:t>公务用车处置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67024">
            <w:pPr>
              <w:jc w:val="center"/>
            </w:pPr>
            <w:r>
              <w:rPr>
                <w:rFonts w:ascii="宋体" w:hAnsi="宋体" w:eastAsia="宋体"/>
                <w:sz w:val="16"/>
              </w:rPr>
              <w:t>&gt;=4辆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1A25D">
            <w:pPr>
              <w:jc w:val="center"/>
            </w:pPr>
            <w:r>
              <w:rPr>
                <w:rFonts w:ascii="宋体" w:hAnsi="宋体" w:eastAsia="宋体"/>
                <w:sz w:val="16"/>
              </w:rPr>
              <w:t>工作职责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9F51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C7CCE">
            <w:pPr>
              <w:jc w:val="center"/>
            </w:pPr>
            <w:r>
              <w:rPr>
                <w:rFonts w:ascii="宋体" w:hAnsi="宋体" w:eastAsia="宋体"/>
                <w:sz w:val="16"/>
              </w:rPr>
              <w:t>4辆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AC51C">
            <w:pPr>
              <w:jc w:val="center"/>
            </w:pPr>
            <w:r>
              <w:rPr>
                <w:rFonts w:ascii="宋体" w:hAnsi="宋体" w:eastAsia="宋体"/>
                <w:sz w:val="16"/>
              </w:rPr>
              <w:t>10</w:t>
            </w:r>
          </w:p>
        </w:tc>
      </w:tr>
      <w:tr w14:paraId="7CD0C8D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3DA065">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B835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F12DA">
            <w:pPr>
              <w:jc w:val="center"/>
            </w:pPr>
            <w:r>
              <w:rPr>
                <w:rFonts w:ascii="宋体" w:hAnsi="宋体" w:eastAsia="宋体"/>
                <w:sz w:val="16"/>
              </w:rPr>
              <w:t>建立全县机关事务管理信息化系统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370B99">
            <w:pPr>
              <w:jc w:val="center"/>
            </w:pPr>
            <w:r>
              <w:rPr>
                <w:rFonts w:ascii="宋体" w:hAnsi="宋体" w:eastAsia="宋体"/>
                <w:sz w:val="16"/>
              </w:rPr>
              <w:t>&gt;=2套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ACF32E">
            <w:pPr>
              <w:jc w:val="center"/>
            </w:pPr>
            <w:r>
              <w:rPr>
                <w:rFonts w:ascii="宋体" w:hAnsi="宋体" w:eastAsia="宋体"/>
                <w:sz w:val="16"/>
              </w:rPr>
              <w:t>关于印发《新疆维吾尔自治区党政机关公务用车管理信息系统使用管理暂行办法》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290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FCCB6">
            <w:pPr>
              <w:jc w:val="center"/>
            </w:pPr>
            <w:r>
              <w:rPr>
                <w:rFonts w:ascii="宋体" w:hAnsi="宋体" w:eastAsia="宋体"/>
                <w:sz w:val="16"/>
              </w:rPr>
              <w:t>1套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6D608">
            <w:pPr>
              <w:jc w:val="center"/>
            </w:pPr>
            <w:r>
              <w:rPr>
                <w:rFonts w:ascii="宋体" w:hAnsi="宋体" w:eastAsia="宋体"/>
                <w:sz w:val="16"/>
              </w:rPr>
              <w:t>5</w:t>
            </w:r>
          </w:p>
        </w:tc>
      </w:tr>
      <w:tr w14:paraId="032327F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D520E">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59939">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B3813">
            <w:pPr>
              <w:jc w:val="center"/>
            </w:pPr>
            <w:r>
              <w:rPr>
                <w:rFonts w:ascii="宋体" w:hAnsi="宋体" w:eastAsia="宋体"/>
                <w:sz w:val="16"/>
              </w:rPr>
              <w:t>统计单位及职工满意度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F70B1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DAF26">
            <w:pPr>
              <w:jc w:val="center"/>
            </w:pPr>
            <w:r>
              <w:rPr>
                <w:rFonts w:ascii="宋体" w:hAnsi="宋体" w:eastAsia="宋体"/>
                <w:sz w:val="16"/>
              </w:rPr>
              <w:t>工作职责</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E78B4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E7BF7">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6C5527">
            <w:pPr>
              <w:jc w:val="center"/>
            </w:pPr>
            <w:r>
              <w:rPr>
                <w:rFonts w:ascii="宋体" w:hAnsi="宋体" w:eastAsia="宋体"/>
                <w:sz w:val="16"/>
              </w:rPr>
              <w:t>10</w:t>
            </w:r>
          </w:p>
        </w:tc>
      </w:tr>
    </w:tbl>
    <w:p w14:paraId="6D09078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96"/>
        <w:gridCol w:w="632"/>
        <w:gridCol w:w="632"/>
        <w:gridCol w:w="632"/>
        <w:gridCol w:w="632"/>
        <w:gridCol w:w="632"/>
        <w:gridCol w:w="632"/>
        <w:gridCol w:w="632"/>
        <w:gridCol w:w="632"/>
        <w:gridCol w:w="632"/>
      </w:tblGrid>
      <w:tr w14:paraId="114C6668">
        <w:tblPrEx>
          <w:tblCellMar>
            <w:top w:w="0" w:type="dxa"/>
            <w:left w:w="108" w:type="dxa"/>
            <w:bottom w:w="0" w:type="dxa"/>
            <w:right w:w="108" w:type="dxa"/>
          </w:tblCellMar>
        </w:tblPrEx>
        <w:tc>
          <w:tcPr>
            <w:tcW w:w="8848" w:type="dxa"/>
            <w:gridSpan w:val="14"/>
            <w:vAlign w:val="center"/>
          </w:tcPr>
          <w:p w14:paraId="23D9947D">
            <w:pPr>
              <w:jc w:val="center"/>
            </w:pPr>
            <w:r>
              <w:rPr>
                <w:rFonts w:ascii="宋体" w:hAnsi="宋体" w:eastAsia="宋体"/>
                <w:sz w:val="24"/>
              </w:rPr>
              <w:t>项目支出绩效自评表</w:t>
            </w:r>
          </w:p>
        </w:tc>
      </w:tr>
      <w:tr w14:paraId="478C7BC2">
        <w:tblPrEx>
          <w:tblCellMar>
            <w:top w:w="0" w:type="dxa"/>
            <w:left w:w="108" w:type="dxa"/>
            <w:bottom w:w="0" w:type="dxa"/>
            <w:right w:w="108" w:type="dxa"/>
          </w:tblCellMar>
        </w:tblPrEx>
        <w:tc>
          <w:tcPr>
            <w:tcW w:w="8848" w:type="dxa"/>
            <w:gridSpan w:val="14"/>
            <w:vAlign w:val="center"/>
          </w:tcPr>
          <w:p w14:paraId="00D9A017">
            <w:pPr>
              <w:jc w:val="center"/>
            </w:pPr>
            <w:r>
              <w:rPr>
                <w:rFonts w:ascii="宋体" w:hAnsi="宋体" w:eastAsia="宋体"/>
                <w:sz w:val="24"/>
              </w:rPr>
              <w:t>(2024年度)</w:t>
            </w:r>
          </w:p>
        </w:tc>
      </w:tr>
      <w:tr w14:paraId="37228C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6FA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FD0093">
            <w:pPr>
              <w:jc w:val="center"/>
            </w:pPr>
            <w:r>
              <w:rPr>
                <w:rFonts w:ascii="宋体" w:hAnsi="宋体" w:eastAsia="宋体"/>
                <w:sz w:val="16"/>
              </w:rPr>
              <w:t>且末县党政办公大楼及行政事业单位网费项目</w:t>
            </w:r>
          </w:p>
        </w:tc>
      </w:tr>
      <w:tr w14:paraId="26896DC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790D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A134BB">
            <w:pPr>
              <w:jc w:val="center"/>
            </w:pPr>
            <w:r>
              <w:rPr>
                <w:rFonts w:ascii="宋体" w:hAnsi="宋体" w:eastAsia="宋体"/>
                <w:sz w:val="16"/>
              </w:rPr>
              <w:t>且末县机关事务中心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47C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5C4DB6">
            <w:pPr>
              <w:jc w:val="center"/>
            </w:pPr>
            <w:r>
              <w:rPr>
                <w:rFonts w:ascii="宋体" w:hAnsi="宋体" w:eastAsia="宋体"/>
                <w:sz w:val="16"/>
              </w:rPr>
              <w:t>且末县机关事务中心</w:t>
            </w:r>
          </w:p>
        </w:tc>
      </w:tr>
      <w:tr w14:paraId="0D572B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977EC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3160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E1F8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8F0C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EA2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F54C0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DFB1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689E5">
            <w:pPr>
              <w:jc w:val="center"/>
            </w:pPr>
            <w:r>
              <w:rPr>
                <w:rFonts w:ascii="宋体" w:hAnsi="宋体" w:eastAsia="宋体"/>
                <w:sz w:val="16"/>
              </w:rPr>
              <w:t>得分</w:t>
            </w:r>
          </w:p>
        </w:tc>
      </w:tr>
      <w:tr w14:paraId="143AA6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857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2FC20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A1ACF">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1E6F1">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F9503C">
            <w:pPr>
              <w:jc w:val="center"/>
            </w:pPr>
            <w:r>
              <w:rPr>
                <w:rFonts w:ascii="宋体" w:hAnsi="宋体" w:eastAsia="宋体"/>
                <w:sz w:val="16"/>
              </w:rPr>
              <w:t>35.70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BFE6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C2E13">
            <w:pPr>
              <w:jc w:val="center"/>
            </w:pPr>
            <w:r>
              <w:rPr>
                <w:rFonts w:ascii="宋体" w:hAnsi="宋体" w:eastAsia="宋体"/>
                <w:sz w:val="16"/>
              </w:rPr>
              <w:t>75.00%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E25B5">
            <w:pPr>
              <w:jc w:val="center"/>
            </w:pPr>
            <w:r>
              <w:rPr>
                <w:rFonts w:ascii="宋体" w:hAnsi="宋体" w:eastAsia="宋体"/>
                <w:sz w:val="16"/>
              </w:rPr>
              <w:t>3.75</w:t>
            </w:r>
          </w:p>
        </w:tc>
      </w:tr>
      <w:tr w14:paraId="56A21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A84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BC3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A2DAF">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675E5">
            <w:pPr>
              <w:jc w:val="center"/>
            </w:pPr>
            <w:r>
              <w:rPr>
                <w:rFonts w:ascii="宋体" w:hAnsi="宋体" w:eastAsia="宋体"/>
                <w:sz w:val="16"/>
              </w:rPr>
              <w:t>47.60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E1FEC">
            <w:pPr>
              <w:jc w:val="center"/>
            </w:pPr>
            <w:r>
              <w:rPr>
                <w:rFonts w:ascii="宋体" w:hAnsi="宋体" w:eastAsia="宋体"/>
                <w:sz w:val="16"/>
              </w:rPr>
              <w:t>35.70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6AAD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728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4994">
            <w:pPr>
              <w:jc w:val="center"/>
            </w:pPr>
            <w:r>
              <w:rPr>
                <w:rFonts w:ascii="宋体" w:hAnsi="宋体" w:eastAsia="宋体"/>
                <w:sz w:val="16"/>
              </w:rPr>
              <w:t>-</w:t>
            </w:r>
          </w:p>
        </w:tc>
      </w:tr>
      <w:tr w14:paraId="5F5869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DB20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0B95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D59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315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E03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23C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B0D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664CC">
            <w:pPr>
              <w:jc w:val="center"/>
            </w:pPr>
            <w:r>
              <w:rPr>
                <w:rFonts w:ascii="宋体" w:hAnsi="宋体" w:eastAsia="宋体"/>
                <w:sz w:val="16"/>
              </w:rPr>
              <w:t>-</w:t>
            </w:r>
          </w:p>
        </w:tc>
      </w:tr>
      <w:tr w14:paraId="0E35EB6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E29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A7941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560569">
            <w:pPr>
              <w:jc w:val="center"/>
            </w:pPr>
            <w:r>
              <w:rPr>
                <w:rFonts w:ascii="宋体" w:hAnsi="宋体" w:eastAsia="宋体"/>
                <w:sz w:val="16"/>
              </w:rPr>
              <w:t>总体目标完成情况</w:t>
            </w:r>
          </w:p>
        </w:tc>
      </w:tr>
      <w:tr w14:paraId="670899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CBBF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81AF43">
            <w:pPr>
              <w:jc w:val="both"/>
            </w:pPr>
            <w:r>
              <w:rPr>
                <w:rFonts w:ascii="宋体" w:hAnsi="宋体" w:eastAsia="宋体"/>
                <w:sz w:val="16"/>
              </w:rPr>
              <w:t>目前行政事业单位网费项目支出35.7万元，普通宽带180条、政务内网18条、政务外网18条、视联网12条、视联网10条、高考互联网2条、互联网专线1条、固话370、等已达到预期效果。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EF593E">
            <w:pPr>
              <w:jc w:val="both"/>
            </w:pPr>
            <w:r>
              <w:rPr>
                <w:rFonts w:ascii="宋体" w:hAnsi="宋体" w:eastAsia="宋体"/>
                <w:sz w:val="16"/>
              </w:rPr>
              <w:t>前行政事业单位网费项目支出35.7万元，普通宽带180条、政务内网18条、政务外网18条、视联网12条、视联网10条、高考互联网2条、互联网专线1条、固话370、确保固话、互联网、内网、财政专线畅通</w:t>
            </w:r>
          </w:p>
        </w:tc>
      </w:tr>
      <w:tr w14:paraId="37B4FE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A8E2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DEAE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812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8867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46D2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39AC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AD0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D071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CD20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FF91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F50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C7DE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3F4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A6D01">
            <w:pPr>
              <w:jc w:val="center"/>
            </w:pPr>
            <w:r>
              <w:rPr>
                <w:rFonts w:ascii="宋体" w:hAnsi="宋体" w:eastAsia="宋体"/>
                <w:sz w:val="16"/>
              </w:rPr>
              <w:t>偏差原因分析及改进措施</w:t>
            </w:r>
          </w:p>
        </w:tc>
      </w:tr>
      <w:tr w14:paraId="0F7A1C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F91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6CB3B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1C05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0A9C4">
            <w:pPr>
              <w:jc w:val="center"/>
            </w:pPr>
            <w:r>
              <w:rPr>
                <w:rFonts w:ascii="宋体" w:hAnsi="宋体" w:eastAsia="宋体"/>
                <w:sz w:val="16"/>
              </w:rPr>
              <w:t>固话使用量（台）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07EF8">
            <w:pPr>
              <w:jc w:val="center"/>
            </w:pPr>
            <w:r>
              <w:rPr>
                <w:rFonts w:ascii="宋体" w:hAnsi="宋体" w:eastAsia="宋体"/>
                <w:sz w:val="16"/>
              </w:rPr>
              <w:t>&gt;=370台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025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66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99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78B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921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E8E1">
            <w:pPr>
              <w:jc w:val="center"/>
            </w:pPr>
            <w:r>
              <w:rPr>
                <w:rFonts w:ascii="宋体" w:hAnsi="宋体" w:eastAsia="宋体"/>
                <w:sz w:val="16"/>
              </w:rPr>
              <w:t>=370台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AA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26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5E878">
            <w:pPr>
              <w:jc w:val="center"/>
            </w:pPr>
          </w:p>
        </w:tc>
      </w:tr>
      <w:tr w14:paraId="3B9F4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939A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0FB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18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6AC2A">
            <w:pPr>
              <w:jc w:val="center"/>
            </w:pPr>
            <w:r>
              <w:rPr>
                <w:rFonts w:ascii="宋体" w:hAnsi="宋体" w:eastAsia="宋体"/>
                <w:sz w:val="16"/>
              </w:rPr>
              <w:t>宽带、政务内网（条）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F1C51">
            <w:pPr>
              <w:jc w:val="center"/>
            </w:pPr>
            <w:r>
              <w:rPr>
                <w:rFonts w:ascii="宋体" w:hAnsi="宋体" w:eastAsia="宋体"/>
                <w:sz w:val="16"/>
              </w:rPr>
              <w:t>=191条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2F6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63F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2E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90C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842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4849">
            <w:pPr>
              <w:jc w:val="center"/>
            </w:pPr>
            <w:r>
              <w:rPr>
                <w:rFonts w:ascii="宋体" w:hAnsi="宋体" w:eastAsia="宋体"/>
                <w:sz w:val="16"/>
              </w:rPr>
              <w:t>=191条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80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E3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FC9E">
            <w:pPr>
              <w:jc w:val="center"/>
            </w:pPr>
          </w:p>
        </w:tc>
      </w:tr>
      <w:tr w14:paraId="7BC445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C9D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47A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2172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E5D76">
            <w:pPr>
              <w:jc w:val="center"/>
            </w:pPr>
            <w:r>
              <w:rPr>
                <w:rFonts w:ascii="宋体" w:hAnsi="宋体" w:eastAsia="宋体"/>
                <w:sz w:val="16"/>
              </w:rPr>
              <w:t>网络电视（部）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A917C">
            <w:pPr>
              <w:jc w:val="center"/>
            </w:pPr>
            <w:r>
              <w:rPr>
                <w:rFonts w:ascii="宋体" w:hAnsi="宋体" w:eastAsia="宋体"/>
                <w:sz w:val="16"/>
              </w:rPr>
              <w:t>&gt;=38部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C2D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4B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811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C98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A1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D249B">
            <w:pPr>
              <w:jc w:val="center"/>
            </w:pPr>
            <w:r>
              <w:rPr>
                <w:rFonts w:ascii="宋体" w:hAnsi="宋体" w:eastAsia="宋体"/>
                <w:sz w:val="16"/>
              </w:rPr>
              <w:t>&gt;=38部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72E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F79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0EAEE">
            <w:pPr>
              <w:jc w:val="center"/>
            </w:pPr>
          </w:p>
        </w:tc>
      </w:tr>
      <w:tr w14:paraId="4D58E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6F01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745B6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C8F5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8C42">
            <w:pPr>
              <w:jc w:val="center"/>
            </w:pPr>
            <w:r>
              <w:rPr>
                <w:rFonts w:ascii="宋体" w:hAnsi="宋体" w:eastAsia="宋体"/>
                <w:sz w:val="16"/>
              </w:rPr>
              <w:t>故障降低率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D4B2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C4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DDF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EA7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A6B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D9B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1595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F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1B4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6B2C">
            <w:pPr>
              <w:jc w:val="center"/>
            </w:pPr>
          </w:p>
        </w:tc>
      </w:tr>
      <w:tr w14:paraId="0A0216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4C9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2DA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E78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8A35">
            <w:pPr>
              <w:jc w:val="center"/>
            </w:pPr>
            <w:r>
              <w:rPr>
                <w:rFonts w:ascii="宋体" w:hAnsi="宋体" w:eastAsia="宋体"/>
                <w:sz w:val="16"/>
              </w:rPr>
              <w:t>网络</w:t>
            </w:r>
            <w:r>
              <w:rPr>
                <w:rFonts w:hint="eastAsia" w:ascii="宋体" w:hAnsi="宋体"/>
                <w:sz w:val="16"/>
                <w:lang w:eastAsia="zh-CN"/>
              </w:rPr>
              <w:t>通畅</w:t>
            </w:r>
            <w:r>
              <w:rPr>
                <w:rFonts w:ascii="宋体" w:hAnsi="宋体" w:eastAsia="宋体"/>
                <w:sz w:val="16"/>
              </w:rPr>
              <w:t>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E71C7">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989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92A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6C7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1A5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C67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0A40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1E3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B98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73619">
            <w:pPr>
              <w:jc w:val="center"/>
            </w:pPr>
          </w:p>
        </w:tc>
      </w:tr>
      <w:tr w14:paraId="67E18C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331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BF6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16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8BCD8">
            <w:pPr>
              <w:jc w:val="center"/>
            </w:pPr>
            <w:r>
              <w:rPr>
                <w:rFonts w:ascii="宋体" w:hAnsi="宋体" w:eastAsia="宋体"/>
                <w:sz w:val="16"/>
              </w:rPr>
              <w:t>确保</w:t>
            </w:r>
            <w:bookmarkStart w:id="0" w:name="_GoBack"/>
            <w:r>
              <w:rPr>
                <w:rFonts w:hint="eastAsia" w:ascii="宋体" w:hAnsi="宋体"/>
                <w:sz w:val="16"/>
                <w:lang w:eastAsia="zh-CN"/>
              </w:rPr>
              <w:t>每个</w:t>
            </w:r>
            <w:bookmarkEnd w:id="0"/>
            <w:r>
              <w:rPr>
                <w:rFonts w:ascii="宋体" w:hAnsi="宋体" w:eastAsia="宋体"/>
                <w:sz w:val="16"/>
              </w:rPr>
              <w:t>网络上通下达畅通（每天）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C959A">
            <w:pPr>
              <w:jc w:val="center"/>
            </w:pPr>
            <w:r>
              <w:rPr>
                <w:rFonts w:ascii="宋体" w:hAnsi="宋体" w:eastAsia="宋体"/>
                <w:sz w:val="16"/>
              </w:rPr>
              <w:t>&gt;=365天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249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7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F5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4D7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09F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21393">
            <w:pPr>
              <w:jc w:val="center"/>
            </w:pPr>
            <w:r>
              <w:rPr>
                <w:rFonts w:ascii="宋体" w:hAnsi="宋体" w:eastAsia="宋体"/>
                <w:sz w:val="16"/>
              </w:rPr>
              <w:t>&gt;=365天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CDC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93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631D8">
            <w:pPr>
              <w:jc w:val="center"/>
            </w:pPr>
          </w:p>
        </w:tc>
      </w:tr>
      <w:tr w14:paraId="7364F8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256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1586">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2E6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D9BA5">
            <w:pPr>
              <w:jc w:val="center"/>
            </w:pPr>
            <w:r>
              <w:rPr>
                <w:rFonts w:ascii="宋体" w:hAnsi="宋体" w:eastAsia="宋体"/>
                <w:sz w:val="16"/>
              </w:rPr>
              <w:t>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030ED">
            <w:pPr>
              <w:jc w:val="center"/>
            </w:pPr>
            <w:r>
              <w:rPr>
                <w:rFonts w:ascii="宋体" w:hAnsi="宋体" w:eastAsia="宋体"/>
                <w:sz w:val="16"/>
              </w:rPr>
              <w:t>&lt;=47.6万元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734E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C4EF4">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2FE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105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73E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0DD43">
            <w:pPr>
              <w:jc w:val="center"/>
            </w:pPr>
            <w:r>
              <w:rPr>
                <w:rFonts w:ascii="宋体" w:hAnsi="宋体" w:eastAsia="宋体"/>
                <w:sz w:val="16"/>
              </w:rPr>
              <w:t>=35.7万元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1682">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C46A4">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6CE6">
            <w:pPr>
              <w:jc w:val="center"/>
            </w:pPr>
          </w:p>
        </w:tc>
      </w:tr>
      <w:tr w14:paraId="6BDBA6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B7F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AF29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AFA3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3FE30">
            <w:pPr>
              <w:jc w:val="center"/>
            </w:pPr>
            <w:r>
              <w:rPr>
                <w:rFonts w:ascii="宋体" w:hAnsi="宋体" w:eastAsia="宋体"/>
                <w:sz w:val="16"/>
              </w:rPr>
              <w:t>确保固话、互联网、内网、财政专线畅通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68016">
            <w:pPr>
              <w:jc w:val="center"/>
            </w:pPr>
            <w:r>
              <w:rPr>
                <w:rFonts w:ascii="宋体" w:hAnsi="宋体" w:eastAsia="宋体"/>
                <w:sz w:val="16"/>
              </w:rPr>
              <w:t>明显畅通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2D7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AC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D9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FC95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4C59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9DE6">
            <w:pPr>
              <w:jc w:val="center"/>
            </w:pPr>
            <w:r>
              <w:rPr>
                <w:rFonts w:ascii="宋体" w:hAnsi="宋体" w:eastAsia="宋体"/>
                <w:sz w:val="16"/>
              </w:rPr>
              <w:t>明显畅通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2F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164C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3846E">
            <w:pPr>
              <w:jc w:val="center"/>
            </w:pPr>
          </w:p>
        </w:tc>
      </w:tr>
      <w:tr w14:paraId="421AC9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6C6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0E9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444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01882">
            <w:pPr>
              <w:jc w:val="center"/>
            </w:pPr>
            <w:r>
              <w:rPr>
                <w:rFonts w:ascii="宋体" w:hAnsi="宋体" w:eastAsia="宋体"/>
                <w:sz w:val="16"/>
              </w:rPr>
              <w:t>行政事业单位用户满意度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083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F87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B25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802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42B3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9D47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6E46">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F9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B18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DACCA">
            <w:pPr>
              <w:jc w:val="center"/>
            </w:pPr>
          </w:p>
        </w:tc>
      </w:tr>
      <w:tr w14:paraId="008EC28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D180A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97F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38F1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569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B2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2AA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81DC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A33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DE32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3E4CB">
            <w:pPr>
              <w:jc w:val="center"/>
            </w:pPr>
            <w:r>
              <w:rPr>
                <w:rFonts w:ascii="宋体" w:hAnsi="宋体" w:eastAsia="宋体"/>
                <w:sz w:val="16"/>
              </w:rPr>
              <w:t>81.25分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0C36D"/>
        </w:tc>
      </w:tr>
    </w:tbl>
    <w:p w14:paraId="008330A6">
      <w:r>
        <w:br w:type="page"/>
      </w:r>
    </w:p>
    <w:p w14:paraId="58DA8FCF">
      <w:pPr>
        <w:spacing w:line="640" w:lineRule="exact"/>
        <w:ind w:firstLine="640"/>
        <w:jc w:val="both"/>
        <w:outlineLvl w:val="2"/>
      </w:pPr>
      <w:r>
        <w:rPr>
          <w:rFonts w:ascii="黑体" w:hAnsi="黑体" w:eastAsia="黑体"/>
          <w:sz w:val="32"/>
        </w:rPr>
        <w:t>十二、其他需说明的事项</w:t>
      </w:r>
    </w:p>
    <w:p w14:paraId="400D4808">
      <w:pPr>
        <w:spacing w:line="580" w:lineRule="exact"/>
        <w:ind w:firstLine="640"/>
        <w:jc w:val="both"/>
      </w:pPr>
      <w:r>
        <w:rPr>
          <w:rFonts w:ascii="仿宋_GB2312" w:hAnsi="仿宋_GB2312" w:eastAsia="仿宋_GB2312"/>
          <w:b w:val="0"/>
          <w:sz w:val="32"/>
        </w:rPr>
        <w:t>本单位无其他需说明的事项。</w:t>
      </w:r>
    </w:p>
    <w:p w14:paraId="6EF1B339">
      <w:r>
        <w:br w:type="page"/>
      </w:r>
    </w:p>
    <w:p w14:paraId="7DB091A8">
      <w:pPr>
        <w:spacing w:line="240" w:lineRule="auto"/>
        <w:jc w:val="center"/>
        <w:outlineLvl w:val="1"/>
      </w:pPr>
      <w:r>
        <w:rPr>
          <w:rFonts w:ascii="黑体" w:hAnsi="黑体" w:eastAsia="黑体"/>
          <w:sz w:val="32"/>
        </w:rPr>
        <w:t>第三部分 专业名词解释</w:t>
      </w:r>
    </w:p>
    <w:p w14:paraId="25F7812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7C9B95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CF1BB8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FE80E9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4241B9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88B548F">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314489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981779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4DC6D3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431D9C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621207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71A6121">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1E9FB2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B690E5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ED90363">
      <w:r>
        <w:br w:type="page"/>
      </w:r>
    </w:p>
    <w:p w14:paraId="62436E62">
      <w:pPr>
        <w:spacing w:line="240" w:lineRule="auto"/>
        <w:jc w:val="center"/>
        <w:outlineLvl w:val="1"/>
      </w:pPr>
      <w:r>
        <w:rPr>
          <w:rFonts w:ascii="黑体" w:hAnsi="黑体" w:eastAsia="黑体"/>
          <w:sz w:val="32"/>
        </w:rPr>
        <w:t>第四部分 部门决算报表（见附表）</w:t>
      </w:r>
    </w:p>
    <w:p w14:paraId="093E359B">
      <w:pPr>
        <w:spacing w:line="240" w:lineRule="auto"/>
        <w:ind w:firstLine="640"/>
        <w:jc w:val="both"/>
      </w:pPr>
      <w:r>
        <w:rPr>
          <w:rFonts w:ascii="仿宋_GB2312" w:hAnsi="仿宋_GB2312" w:eastAsia="仿宋_GB2312"/>
          <w:b w:val="0"/>
          <w:sz w:val="32"/>
        </w:rPr>
        <w:t>一、《收入支出决算总表》</w:t>
      </w:r>
    </w:p>
    <w:p w14:paraId="6AE7645F">
      <w:pPr>
        <w:spacing w:line="240" w:lineRule="auto"/>
        <w:ind w:firstLine="640"/>
        <w:jc w:val="both"/>
      </w:pPr>
      <w:r>
        <w:rPr>
          <w:rFonts w:ascii="仿宋_GB2312" w:hAnsi="仿宋_GB2312" w:eastAsia="仿宋_GB2312"/>
          <w:b w:val="0"/>
          <w:sz w:val="32"/>
        </w:rPr>
        <w:t>二、《收入决算表》</w:t>
      </w:r>
    </w:p>
    <w:p w14:paraId="16CAC7E5">
      <w:pPr>
        <w:spacing w:line="240" w:lineRule="auto"/>
        <w:ind w:firstLine="640"/>
        <w:jc w:val="both"/>
      </w:pPr>
      <w:r>
        <w:rPr>
          <w:rFonts w:ascii="仿宋_GB2312" w:hAnsi="仿宋_GB2312" w:eastAsia="仿宋_GB2312"/>
          <w:b w:val="0"/>
          <w:sz w:val="32"/>
        </w:rPr>
        <w:t>三、《支出决算表》</w:t>
      </w:r>
    </w:p>
    <w:p w14:paraId="261FE392">
      <w:pPr>
        <w:spacing w:line="240" w:lineRule="auto"/>
        <w:ind w:firstLine="640"/>
        <w:jc w:val="both"/>
      </w:pPr>
      <w:r>
        <w:rPr>
          <w:rFonts w:ascii="仿宋_GB2312" w:hAnsi="仿宋_GB2312" w:eastAsia="仿宋_GB2312"/>
          <w:b w:val="0"/>
          <w:sz w:val="32"/>
        </w:rPr>
        <w:t>四、《财政拨款收入支出决算总表》</w:t>
      </w:r>
    </w:p>
    <w:p w14:paraId="64FBD054">
      <w:pPr>
        <w:spacing w:line="240" w:lineRule="auto"/>
        <w:ind w:firstLine="640"/>
        <w:jc w:val="both"/>
      </w:pPr>
      <w:r>
        <w:rPr>
          <w:rFonts w:ascii="仿宋_GB2312" w:hAnsi="仿宋_GB2312" w:eastAsia="仿宋_GB2312"/>
          <w:b w:val="0"/>
          <w:sz w:val="32"/>
        </w:rPr>
        <w:t>五、《一般公共预算财政拨款支出决算表》</w:t>
      </w:r>
    </w:p>
    <w:p w14:paraId="33260CC2">
      <w:pPr>
        <w:spacing w:line="240" w:lineRule="auto"/>
        <w:ind w:firstLine="640"/>
        <w:jc w:val="both"/>
      </w:pPr>
      <w:r>
        <w:rPr>
          <w:rFonts w:ascii="仿宋_GB2312" w:hAnsi="仿宋_GB2312" w:eastAsia="仿宋_GB2312"/>
          <w:b w:val="0"/>
          <w:sz w:val="32"/>
        </w:rPr>
        <w:t>六、《一般公共预算财政拨款基本支出决算表》</w:t>
      </w:r>
    </w:p>
    <w:p w14:paraId="7C3BE9C3">
      <w:pPr>
        <w:spacing w:line="240" w:lineRule="auto"/>
        <w:ind w:firstLine="640"/>
        <w:jc w:val="both"/>
      </w:pPr>
      <w:r>
        <w:rPr>
          <w:rFonts w:ascii="仿宋_GB2312" w:hAnsi="仿宋_GB2312" w:eastAsia="仿宋_GB2312"/>
          <w:b w:val="0"/>
          <w:sz w:val="32"/>
        </w:rPr>
        <w:t>七、《政府性基金预算财政拨款收入支出决算表》</w:t>
      </w:r>
    </w:p>
    <w:p w14:paraId="624C68BC">
      <w:pPr>
        <w:spacing w:line="240" w:lineRule="auto"/>
        <w:ind w:firstLine="640"/>
        <w:jc w:val="both"/>
      </w:pPr>
      <w:r>
        <w:rPr>
          <w:rFonts w:ascii="仿宋_GB2312" w:hAnsi="仿宋_GB2312" w:eastAsia="仿宋_GB2312"/>
          <w:b w:val="0"/>
          <w:sz w:val="32"/>
        </w:rPr>
        <w:t>八、《国有资本经营预算财政拨款收入支出决算表》</w:t>
      </w:r>
    </w:p>
    <w:p w14:paraId="49AD21D1">
      <w:pPr>
        <w:spacing w:line="240" w:lineRule="auto"/>
        <w:ind w:firstLine="640"/>
        <w:jc w:val="both"/>
      </w:pPr>
      <w:r>
        <w:rPr>
          <w:rFonts w:ascii="仿宋_GB2312" w:hAnsi="仿宋_GB2312" w:eastAsia="仿宋_GB2312"/>
          <w:b w:val="0"/>
          <w:sz w:val="32"/>
        </w:rPr>
        <w:t>九、《财政拨款“三公”经费支出决算表》</w:t>
      </w:r>
    </w:p>
    <w:p w14:paraId="17747C93">
      <w:pPr>
        <w:spacing w:line="240" w:lineRule="auto"/>
        <w:ind w:firstLine="640"/>
        <w:jc w:val="both"/>
      </w:pPr>
    </w:p>
    <w:p w14:paraId="2F1CB9CF">
      <w:pPr>
        <w:spacing w:line="240" w:lineRule="auto"/>
        <w:ind w:firstLine="640"/>
        <w:jc w:val="both"/>
      </w:pPr>
    </w:p>
    <w:p w14:paraId="125B4229">
      <w:pPr>
        <w:spacing w:line="240" w:lineRule="auto"/>
        <w:ind w:firstLine="640"/>
        <w:jc w:val="both"/>
      </w:pPr>
    </w:p>
    <w:p w14:paraId="44355B55">
      <w:pPr>
        <w:spacing w:line="240" w:lineRule="auto"/>
        <w:ind w:firstLine="640"/>
        <w:jc w:val="both"/>
      </w:pPr>
    </w:p>
    <w:p w14:paraId="5CFBEF6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8C9E91-0CD2-4691-98D3-6674240AFF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BACA1AC-9937-4479-85E6-DACDFD036B26}"/>
  </w:font>
  <w:font w:name="仿宋_GB2312">
    <w:panose1 w:val="02010609030101010101"/>
    <w:charset w:val="86"/>
    <w:family w:val="modern"/>
    <w:pitch w:val="default"/>
    <w:sig w:usb0="00000001" w:usb1="080E0000" w:usb2="00000000" w:usb3="00000000" w:csb0="00040000" w:csb1="00000000"/>
    <w:embedRegular r:id="rId3" w:fontKey="{C0D36F94-CF52-4680-B76E-535B09005614}"/>
  </w:font>
  <w:font w:name="楷体_GB2312">
    <w:panose1 w:val="02010609030101010101"/>
    <w:charset w:val="86"/>
    <w:family w:val="auto"/>
    <w:pitch w:val="default"/>
    <w:sig w:usb0="00000001" w:usb1="080E0000" w:usb2="00000000" w:usb3="00000000" w:csb0="00040000" w:csb1="00000000"/>
    <w:embedRegular r:id="rId4" w:fontKey="{C935AFDE-05C0-4FD0-B80B-A54E3B6E4E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474681A"/>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BB84711"/>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5857</Words>
  <Characters>6699</Characters>
  <Lines>0</Lines>
  <Paragraphs>0</Paragraphs>
  <TotalTime>0</TotalTime>
  <ScaleCrop>false</ScaleCrop>
  <LinksUpToDate>false</LinksUpToDate>
  <CharactersWithSpaces>6714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2025-09-26T12:10:07Z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