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且末县人民政府（部门）2024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29DCAB2">
      <w:r>
        <w:br w:type="page"/>
      </w:r>
    </w:p>
    <w:p w14:paraId="0D4B90EE">
      <w:pPr>
        <w:spacing w:line="640" w:lineRule="exact"/>
        <w:jc w:val="center"/>
        <w:outlineLvl w:val="1"/>
      </w:pPr>
      <w:r>
        <w:rPr>
          <w:rFonts w:ascii="黑体" w:hAnsi="黑体" w:eastAsia="黑体"/>
          <w:sz w:val="32"/>
        </w:rPr>
        <w:t>第一部分 部门概况</w:t>
      </w:r>
    </w:p>
    <w:p w14:paraId="35D81C8E">
      <w:pPr>
        <w:spacing w:line="640" w:lineRule="exact"/>
        <w:ind w:firstLine="640"/>
        <w:jc w:val="both"/>
        <w:outlineLvl w:val="2"/>
      </w:pPr>
      <w:r>
        <w:rPr>
          <w:rFonts w:ascii="黑体" w:hAnsi="黑体" w:eastAsia="黑体"/>
          <w:sz w:val="32"/>
        </w:rPr>
        <w:t>一、主要职能</w:t>
      </w:r>
    </w:p>
    <w:p w14:paraId="095AE188">
      <w:pPr>
        <w:spacing w:line="580" w:lineRule="exact"/>
        <w:ind w:firstLine="640"/>
        <w:jc w:val="both"/>
      </w:pPr>
      <w:r>
        <w:rPr>
          <w:rFonts w:ascii="仿宋_GB2312" w:hAnsi="仿宋_GB2312" w:eastAsia="仿宋_GB2312"/>
          <w:sz w:val="32"/>
        </w:rPr>
        <w:t>（一）负责县人民政府会议的准备工作，协助且末县人民政府领导同志组织会议决定事项的实施。</w:t>
      </w:r>
    </w:p>
    <w:p w14:paraId="70BF7A52">
      <w:pPr>
        <w:spacing w:line="580" w:lineRule="exact"/>
        <w:ind w:firstLine="640"/>
        <w:jc w:val="both"/>
      </w:pPr>
      <w:r>
        <w:rPr>
          <w:rFonts w:ascii="仿宋_GB2312" w:hAnsi="仿宋_GB2312" w:eastAsia="仿宋_GB2312"/>
          <w:sz w:val="32"/>
        </w:rPr>
        <w:t>（二）协助县人民政府领导同志组织起草或审核以且末县人民政府、且末县人民政府办公室名义发布的公文。</w:t>
      </w:r>
    </w:p>
    <w:p w14:paraId="00E565FF">
      <w:pPr>
        <w:spacing w:line="580" w:lineRule="exact"/>
        <w:ind w:firstLine="640"/>
        <w:jc w:val="both"/>
      </w:pPr>
      <w:r>
        <w:rPr>
          <w:rFonts w:ascii="仿宋_GB2312" w:hAnsi="仿宋_GB2312" w:eastAsia="仿宋_GB2312"/>
          <w:sz w:val="32"/>
        </w:rPr>
        <w:t>（三）研究县人民政府各部门和各乡镇请示且末县人民政府的事项，提出审核意见，报且末县人民政府领导同志审定。</w:t>
      </w:r>
    </w:p>
    <w:p w14:paraId="6D51F3D5">
      <w:pPr>
        <w:spacing w:line="580" w:lineRule="exact"/>
        <w:ind w:firstLine="640"/>
        <w:jc w:val="both"/>
      </w:pPr>
      <w:r>
        <w:rPr>
          <w:rFonts w:ascii="仿宋_GB2312" w:hAnsi="仿宋_GB2312" w:eastAsia="仿宋_GB2312"/>
          <w:sz w:val="32"/>
        </w:rPr>
        <w:t>（四）督促检查且末县人民政府公文、会议决定事项及且末县人民政府领导同志指示的贯彻落实情况并跟踪调研，及时向且末县人民政府领导同志报告。负责且末县人大代表建议意见和政协委员提案的督办工作。</w:t>
      </w:r>
    </w:p>
    <w:p w14:paraId="4C175AE0">
      <w:pPr>
        <w:spacing w:line="580" w:lineRule="exact"/>
        <w:ind w:firstLine="640"/>
        <w:jc w:val="both"/>
      </w:pPr>
      <w:r>
        <w:rPr>
          <w:rFonts w:ascii="仿宋_GB2312" w:hAnsi="仿宋_GB2312" w:eastAsia="仿宋_GB2312"/>
          <w:sz w:val="32"/>
        </w:rPr>
        <w:t>（五）负责且末县人民政府办公室值班工作，及时向且末县人民政府领导同志报告重要情况，协调处理且末县人民政府各部门和各乡镇向且末县人民政府反映的重要问题，传达和督促落实县人民政府领导同志的指示。</w:t>
      </w:r>
    </w:p>
    <w:p w14:paraId="57D4447B">
      <w:pPr>
        <w:spacing w:line="580" w:lineRule="exact"/>
        <w:ind w:firstLine="640"/>
        <w:jc w:val="both"/>
      </w:pPr>
      <w:r>
        <w:rPr>
          <w:rFonts w:ascii="仿宋_GB2312" w:hAnsi="仿宋_GB2312" w:eastAsia="仿宋_GB2312"/>
          <w:sz w:val="32"/>
        </w:rPr>
        <w:t>（六）负责指导、协调、推进且末县“放管服”改革、政务公开及政府系统电子政务工作。</w:t>
      </w:r>
    </w:p>
    <w:p w14:paraId="7C007F37">
      <w:pPr>
        <w:spacing w:line="580" w:lineRule="exact"/>
        <w:ind w:firstLine="640"/>
        <w:jc w:val="both"/>
      </w:pPr>
      <w:r>
        <w:rPr>
          <w:rFonts w:ascii="仿宋_GB2312" w:hAnsi="仿宋_GB2312" w:eastAsia="仿宋_GB2312"/>
          <w:sz w:val="32"/>
        </w:rPr>
        <w:t>（七）贯彻执行国家和自治区、自治州扶贫开发工作方针政策，研究制定且末县扶贫开发战略规划、政策措施并组织实施，会同有关部门统筹编制扶贫开发项目计划，制定扶贫开发专项资金、物资分配方案并做好监督检查，组织实施产业化扶贫计划和扶贫培训等工作。</w:t>
      </w:r>
    </w:p>
    <w:p w14:paraId="0F9C9630">
      <w:pPr>
        <w:spacing w:line="580" w:lineRule="exact"/>
        <w:ind w:firstLine="640"/>
        <w:jc w:val="both"/>
      </w:pPr>
      <w:r>
        <w:rPr>
          <w:rFonts w:ascii="仿宋_GB2312" w:hAnsi="仿宋_GB2312" w:eastAsia="仿宋_GB2312"/>
          <w:sz w:val="32"/>
        </w:rPr>
        <w:t>（八）贯彻执行国家、自治区、自治州水库移民工作方针、政策和法律法规，负责全县水库移民管理工作，负责水库移民统计、业务培训、信息管理和扶持政策落实，组织重点工程移民安置规划的编制，受理、调解水库移民安置纠纷，处理水库移民安置工作中的突发事件。</w:t>
      </w:r>
    </w:p>
    <w:p w14:paraId="65FFF83D">
      <w:pPr>
        <w:spacing w:line="580" w:lineRule="exact"/>
        <w:ind w:firstLine="640"/>
        <w:jc w:val="both"/>
      </w:pPr>
      <w:r>
        <w:rPr>
          <w:rFonts w:ascii="仿宋_GB2312" w:hAnsi="仿宋_GB2312" w:eastAsia="仿宋_GB2312"/>
          <w:sz w:val="32"/>
        </w:rPr>
        <w:t>（九）承担本部门党的建设、党风廉政和反腐败、精神文明、维护稳定、“</w:t>
      </w:r>
      <w:r>
        <w:rPr>
          <w:rFonts w:hint="eastAsia" w:ascii="仿宋_GB2312" w:hAnsi="仿宋_GB2312" w:eastAsia="仿宋_GB2312"/>
          <w:sz w:val="32"/>
          <w:lang w:eastAsia="zh-CN"/>
        </w:rPr>
        <w:t>为民办实事</w:t>
      </w:r>
      <w:r>
        <w:rPr>
          <w:rFonts w:ascii="仿宋_GB2312" w:hAnsi="仿宋_GB2312" w:eastAsia="仿宋_GB2312"/>
          <w:sz w:val="32"/>
        </w:rPr>
        <w:t>”、综合治理、民族团结、“两个全覆盖”、安全生产、扶贫等工作。</w:t>
      </w:r>
    </w:p>
    <w:p w14:paraId="2BFD7811">
      <w:pPr>
        <w:spacing w:line="580" w:lineRule="exact"/>
        <w:ind w:firstLine="640"/>
        <w:jc w:val="both"/>
      </w:pPr>
      <w:r>
        <w:rPr>
          <w:rFonts w:ascii="仿宋_GB2312" w:hAnsi="仿宋_GB2312" w:eastAsia="仿宋_GB2312"/>
          <w:sz w:val="32"/>
        </w:rPr>
        <w:t>（十）完成且末县党委、且末县人民政府交办的其他任务。</w:t>
      </w:r>
    </w:p>
    <w:p w14:paraId="32B81A69">
      <w:pPr>
        <w:spacing w:line="640" w:lineRule="exact"/>
        <w:ind w:firstLine="640"/>
        <w:jc w:val="both"/>
        <w:outlineLvl w:val="2"/>
      </w:pPr>
      <w:r>
        <w:rPr>
          <w:rFonts w:ascii="黑体" w:hAnsi="黑体" w:eastAsia="黑体"/>
          <w:sz w:val="32"/>
        </w:rPr>
        <w:t>二、机构设置及人员情况</w:t>
      </w:r>
    </w:p>
    <w:p w14:paraId="5172013E">
      <w:pPr>
        <w:spacing w:line="580" w:lineRule="exact"/>
        <w:ind w:firstLine="640"/>
        <w:jc w:val="both"/>
      </w:pPr>
      <w:r>
        <w:rPr>
          <w:rFonts w:ascii="仿宋_GB2312" w:hAnsi="仿宋_GB2312" w:eastAsia="仿宋_GB2312"/>
          <w:sz w:val="32"/>
        </w:rPr>
        <w:t>且末县人民政府（部门）2024年度，实有人数71人，其中：在职人员35人，减少4人；离休人员0人，增加0人；退休人员36人,增加4人。</w:t>
      </w:r>
    </w:p>
    <w:p w14:paraId="3082EF43">
      <w:pPr>
        <w:spacing w:line="580" w:lineRule="exact"/>
        <w:ind w:firstLine="640"/>
        <w:jc w:val="both"/>
      </w:pPr>
      <w:r>
        <w:rPr>
          <w:rFonts w:ascii="仿宋_GB2312" w:hAnsi="仿宋_GB2312" w:eastAsia="仿宋_GB2312"/>
          <w:sz w:val="32"/>
        </w:rPr>
        <w:t>从部门决算单位构成看，且末县人民政府（部门）部门决算包括：且末县人民政府（本级）决算及所属单位决算。</w:t>
      </w:r>
    </w:p>
    <w:p w14:paraId="0535D55F">
      <w:pPr>
        <w:spacing w:line="580" w:lineRule="exact"/>
        <w:ind w:firstLine="640"/>
        <w:jc w:val="both"/>
      </w:pPr>
      <w:r>
        <w:rPr>
          <w:rFonts w:ascii="仿宋_GB2312" w:hAnsi="仿宋_GB2312" w:eastAsia="仿宋_GB2312"/>
          <w:sz w:val="32"/>
        </w:rPr>
        <w:t>且末县人民政府本级下设</w:t>
      </w:r>
      <w:r>
        <w:rPr>
          <w:rFonts w:hint="eastAsia" w:ascii="仿宋_GB2312" w:hAnsi="仿宋_GB2312" w:eastAsia="仿宋_GB2312"/>
          <w:sz w:val="32"/>
          <w:lang w:val="en-US" w:eastAsia="zh-CN"/>
        </w:rPr>
        <w:t>3</w:t>
      </w:r>
      <w:bookmarkStart w:id="0" w:name="_GoBack"/>
      <w:bookmarkEnd w:id="0"/>
      <w:r>
        <w:rPr>
          <w:rFonts w:ascii="仿宋_GB2312" w:hAnsi="仿宋_GB2312" w:eastAsia="仿宋_GB2312"/>
          <w:sz w:val="32"/>
        </w:rPr>
        <w:t>个科室，分别是：综合科一、综合科二、综合科三。</w:t>
      </w:r>
    </w:p>
    <w:p w14:paraId="76421E84">
      <w:pPr>
        <w:spacing w:line="580" w:lineRule="exact"/>
        <w:ind w:firstLine="640"/>
        <w:jc w:val="both"/>
      </w:pPr>
      <w:r>
        <w:rPr>
          <w:rFonts w:ascii="仿宋_GB2312" w:hAnsi="仿宋_GB2312" w:eastAsia="仿宋_GB2312"/>
          <w:sz w:val="32"/>
        </w:rPr>
        <w:t>纳入且末县人民政府（部门）2024年度部门决算编制范围的下属预算单位包括：</w:t>
      </w:r>
    </w:p>
    <w:p w14:paraId="79B0A31E">
      <w:pPr>
        <w:spacing w:line="580" w:lineRule="exact"/>
        <w:ind w:firstLine="640"/>
        <w:jc w:val="both"/>
      </w:pPr>
      <w:r>
        <w:rPr>
          <w:rFonts w:ascii="仿宋_GB2312" w:hAnsi="仿宋_GB2312" w:eastAsia="仿宋_GB2312"/>
          <w:sz w:val="32"/>
        </w:rPr>
        <w:t>1.且末县人民政府本级</w:t>
      </w:r>
    </w:p>
    <w:p w14:paraId="4E1B9F93">
      <w:pPr>
        <w:spacing w:line="580" w:lineRule="exact"/>
        <w:ind w:firstLine="640"/>
        <w:jc w:val="both"/>
      </w:pPr>
      <w:r>
        <w:rPr>
          <w:rFonts w:ascii="仿宋_GB2312" w:hAnsi="仿宋_GB2312" w:eastAsia="仿宋_GB2312"/>
          <w:sz w:val="32"/>
        </w:rPr>
        <w:t>2.且末县行政服务中心</w:t>
      </w:r>
    </w:p>
    <w:p w14:paraId="3F503194">
      <w:pPr>
        <w:spacing w:line="580" w:lineRule="exact"/>
        <w:ind w:firstLine="640"/>
        <w:jc w:val="both"/>
      </w:pPr>
      <w:r>
        <w:rPr>
          <w:rFonts w:ascii="仿宋_GB2312" w:hAnsi="仿宋_GB2312" w:eastAsia="仿宋_GB2312"/>
          <w:sz w:val="32"/>
        </w:rPr>
        <w:t>3.且末县机关事务中心</w:t>
      </w:r>
    </w:p>
    <w:p w14:paraId="4C3EDED6">
      <w:r>
        <w:br w:type="page"/>
      </w:r>
    </w:p>
    <w:p w14:paraId="19B65FA2">
      <w:pPr>
        <w:spacing w:line="240" w:lineRule="auto"/>
        <w:jc w:val="center"/>
        <w:outlineLvl w:val="1"/>
      </w:pPr>
      <w:r>
        <w:rPr>
          <w:rFonts w:ascii="黑体" w:hAnsi="黑体" w:eastAsia="黑体"/>
          <w:sz w:val="32"/>
        </w:rPr>
        <w:t>第二部分 部门决算情况说明</w:t>
      </w:r>
    </w:p>
    <w:p w14:paraId="03E0D499">
      <w:pPr>
        <w:spacing w:line="640" w:lineRule="exact"/>
        <w:ind w:firstLine="640"/>
        <w:jc w:val="both"/>
        <w:outlineLvl w:val="2"/>
      </w:pPr>
      <w:r>
        <w:rPr>
          <w:rFonts w:ascii="黑体" w:hAnsi="黑体" w:eastAsia="黑体"/>
          <w:sz w:val="32"/>
        </w:rPr>
        <w:t>一、收入支出决算总体情况说明</w:t>
      </w:r>
    </w:p>
    <w:p w14:paraId="04260072">
      <w:pPr>
        <w:spacing w:line="580" w:lineRule="exact"/>
        <w:ind w:firstLine="640"/>
        <w:jc w:val="both"/>
      </w:pPr>
      <w:r>
        <w:rPr>
          <w:rFonts w:ascii="仿宋_GB2312" w:hAnsi="仿宋_GB2312" w:eastAsia="仿宋_GB2312"/>
          <w:b/>
          <w:sz w:val="32"/>
        </w:rPr>
        <w:t>2024年度收入总计1,536.09万元，</w:t>
      </w:r>
      <w:r>
        <w:rPr>
          <w:rFonts w:ascii="仿宋_GB2312" w:hAnsi="仿宋_GB2312" w:eastAsia="仿宋_GB2312"/>
          <w:b w:val="0"/>
          <w:sz w:val="32"/>
        </w:rPr>
        <w:t>其中：本年收入合计1,536.09万元，使用非财政拨款结余（含专用结余）0.00万元，年初结转和结余0.00万元。</w:t>
      </w:r>
    </w:p>
    <w:p w14:paraId="565CDBC7">
      <w:pPr>
        <w:spacing w:line="580" w:lineRule="exact"/>
        <w:ind w:firstLine="640"/>
        <w:jc w:val="both"/>
      </w:pPr>
      <w:r>
        <w:rPr>
          <w:rFonts w:ascii="仿宋_GB2312" w:hAnsi="仿宋_GB2312" w:eastAsia="仿宋_GB2312"/>
          <w:b/>
          <w:sz w:val="32"/>
        </w:rPr>
        <w:t>2024年度支出总计1,536.09万元，</w:t>
      </w:r>
      <w:r>
        <w:rPr>
          <w:rFonts w:ascii="仿宋_GB2312" w:hAnsi="仿宋_GB2312" w:eastAsia="仿宋_GB2312"/>
          <w:b w:val="0"/>
          <w:sz w:val="32"/>
        </w:rPr>
        <w:t>其中：本年支出合计1,536.09万元，结余分配0.00万元，年末结转和结余0.00万元。</w:t>
      </w:r>
    </w:p>
    <w:p w14:paraId="417A49E1">
      <w:pPr>
        <w:spacing w:line="580" w:lineRule="exact"/>
        <w:ind w:firstLine="640"/>
        <w:jc w:val="both"/>
      </w:pPr>
      <w:r>
        <w:rPr>
          <w:rFonts w:ascii="仿宋_GB2312" w:hAnsi="仿宋_GB2312" w:eastAsia="仿宋_GB2312"/>
          <w:b w:val="0"/>
          <w:sz w:val="32"/>
        </w:rPr>
        <w:t>收入支出总体与上年相比，减少335.81万元，下降17.94%，主要原因是：本年在职人员减少，相关人员经费较上年减少；会议场地租赁费、公务接待等项目资金较上年减少。</w:t>
      </w:r>
    </w:p>
    <w:p w14:paraId="74C8A6BC">
      <w:pPr>
        <w:spacing w:line="640" w:lineRule="exact"/>
        <w:ind w:firstLine="640"/>
        <w:jc w:val="both"/>
        <w:outlineLvl w:val="2"/>
      </w:pPr>
      <w:r>
        <w:rPr>
          <w:rFonts w:ascii="黑体" w:hAnsi="黑体" w:eastAsia="黑体"/>
          <w:sz w:val="32"/>
        </w:rPr>
        <w:t>二、收入决算情况说明</w:t>
      </w:r>
    </w:p>
    <w:p w14:paraId="3A105D64">
      <w:pPr>
        <w:spacing w:line="580" w:lineRule="exact"/>
        <w:ind w:firstLine="640"/>
        <w:jc w:val="both"/>
      </w:pPr>
      <w:r>
        <w:rPr>
          <w:rFonts w:ascii="仿宋_GB2312" w:hAnsi="仿宋_GB2312" w:eastAsia="仿宋_GB2312"/>
          <w:b/>
          <w:sz w:val="32"/>
        </w:rPr>
        <w:t>本年收入1,536.09万元，</w:t>
      </w:r>
      <w:r>
        <w:rPr>
          <w:rFonts w:ascii="仿宋_GB2312" w:hAnsi="仿宋_GB2312" w:eastAsia="仿宋_GB2312"/>
          <w:b w:val="0"/>
          <w:sz w:val="32"/>
        </w:rPr>
        <w:t>其中：财政拨款收入1,536.09万元，占100.00%；上级补助收入0.00万元，占0.00%；事业收入0.00万元，占0.00%；经营收入0.00万元，占0.00%；附属单位上缴收入0.00万元，占0.00%；其他收入0.00万元，占0.00%。</w:t>
      </w:r>
    </w:p>
    <w:p w14:paraId="2256FE81">
      <w:pPr>
        <w:spacing w:line="640" w:lineRule="exact"/>
        <w:ind w:firstLine="640"/>
        <w:jc w:val="both"/>
        <w:outlineLvl w:val="2"/>
      </w:pPr>
      <w:r>
        <w:rPr>
          <w:rFonts w:ascii="黑体" w:hAnsi="黑体" w:eastAsia="黑体"/>
          <w:sz w:val="32"/>
        </w:rPr>
        <w:t>三、支出决算情况说明</w:t>
      </w:r>
    </w:p>
    <w:p w14:paraId="399EEAC7">
      <w:pPr>
        <w:spacing w:line="580" w:lineRule="exact"/>
        <w:ind w:firstLine="640"/>
        <w:jc w:val="both"/>
      </w:pPr>
      <w:r>
        <w:rPr>
          <w:rFonts w:ascii="仿宋_GB2312" w:hAnsi="仿宋_GB2312" w:eastAsia="仿宋_GB2312"/>
          <w:b/>
          <w:sz w:val="32"/>
        </w:rPr>
        <w:t>本年支出1,536.09万元，</w:t>
      </w:r>
      <w:r>
        <w:rPr>
          <w:rFonts w:ascii="仿宋_GB2312" w:hAnsi="仿宋_GB2312" w:eastAsia="仿宋_GB2312"/>
          <w:b w:val="0"/>
          <w:sz w:val="32"/>
        </w:rPr>
        <w:t>其中：基本支出1,533.65万元，占99.84%；项目支出2.44万元，占0.16%；上缴上级支出0.00万元，占0.00%；经营支出0.00万元，占0.00%；对附属单位补助支出0.00万元，占0.00%。</w:t>
      </w:r>
    </w:p>
    <w:p w14:paraId="3A5A603A">
      <w:pPr>
        <w:spacing w:line="640" w:lineRule="exact"/>
        <w:ind w:firstLine="640"/>
        <w:jc w:val="both"/>
        <w:outlineLvl w:val="2"/>
      </w:pPr>
      <w:r>
        <w:rPr>
          <w:rFonts w:ascii="黑体" w:hAnsi="黑体" w:eastAsia="黑体"/>
          <w:sz w:val="32"/>
        </w:rPr>
        <w:t>四、财政拨款收入支出决算总体情况说明</w:t>
      </w:r>
    </w:p>
    <w:p w14:paraId="2FC6C903">
      <w:pPr>
        <w:spacing w:line="580" w:lineRule="exact"/>
        <w:ind w:firstLine="640"/>
        <w:jc w:val="both"/>
      </w:pPr>
      <w:r>
        <w:rPr>
          <w:rFonts w:ascii="仿宋_GB2312" w:hAnsi="仿宋_GB2312" w:eastAsia="仿宋_GB2312"/>
          <w:b/>
          <w:sz w:val="32"/>
        </w:rPr>
        <w:t>2024年度财政拨款收入总计1,536.09万元，</w:t>
      </w:r>
      <w:r>
        <w:rPr>
          <w:rFonts w:ascii="仿宋_GB2312" w:hAnsi="仿宋_GB2312" w:eastAsia="仿宋_GB2312"/>
          <w:b w:val="0"/>
          <w:sz w:val="32"/>
        </w:rPr>
        <w:t>其中：年初财政拨款结转和结余0.00万元，本年财政拨款收入1,536.09万元。</w:t>
      </w:r>
      <w:r>
        <w:rPr>
          <w:rFonts w:ascii="仿宋_GB2312" w:hAnsi="仿宋_GB2312" w:eastAsia="仿宋_GB2312"/>
          <w:b/>
          <w:sz w:val="32"/>
        </w:rPr>
        <w:t>财政拨款支出总计1,536.09万元，</w:t>
      </w:r>
      <w:r>
        <w:rPr>
          <w:rFonts w:ascii="仿宋_GB2312" w:hAnsi="仿宋_GB2312" w:eastAsia="仿宋_GB2312"/>
          <w:b w:val="0"/>
          <w:sz w:val="32"/>
        </w:rPr>
        <w:t>其中：年末财政拨款结转和结余0.00万元，本年财政拨款支出1,536.09万元。</w:t>
      </w:r>
    </w:p>
    <w:p w14:paraId="06DFB43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减少335.81万元，下降17.94%，主要原因是：本年在职人员减少，相关人员经费较上年减少；会议场地租赁费、公务接待等项目资金较上年减少。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年初预算数1,322.72万元，决算数1,536.09万元，预决算差异率16.13%，主要原因是：年中追加人员工资、社保、公积金基数调增部分资金，</w:t>
      </w:r>
      <w:r>
        <w:rPr>
          <w:rFonts w:hint="eastAsia" w:ascii="仿宋_GB2312" w:hAnsi="仿宋_GB2312" w:eastAsia="仿宋_GB2312"/>
          <w:b w:val="0"/>
          <w:sz w:val="32"/>
          <w:lang w:val="en-US" w:eastAsia="zh-CN"/>
        </w:rPr>
        <w:t>追加为民办实事项目经费，</w:t>
      </w:r>
      <w:r>
        <w:rPr>
          <w:rFonts w:ascii="仿宋_GB2312" w:hAnsi="仿宋_GB2312" w:eastAsia="仿宋_GB2312"/>
          <w:b w:val="0"/>
          <w:sz w:val="32"/>
        </w:rPr>
        <w:t>导致预决算存在差异。</w:t>
      </w:r>
    </w:p>
    <w:p w14:paraId="28E2EF73">
      <w:pPr>
        <w:spacing w:line="640" w:lineRule="exact"/>
        <w:ind w:firstLine="640"/>
        <w:jc w:val="both"/>
        <w:outlineLvl w:val="2"/>
      </w:pPr>
      <w:r>
        <w:rPr>
          <w:rFonts w:ascii="黑体" w:hAnsi="黑体" w:eastAsia="黑体"/>
          <w:sz w:val="32"/>
        </w:rPr>
        <w:t>五、一般公共预算财政拨款支出决算情况说明</w:t>
      </w:r>
    </w:p>
    <w:p w14:paraId="35F80C38">
      <w:pPr>
        <w:spacing w:line="640" w:lineRule="exact"/>
        <w:ind w:firstLine="640"/>
        <w:jc w:val="both"/>
        <w:outlineLvl w:val="3"/>
      </w:pPr>
      <w:r>
        <w:rPr>
          <w:rFonts w:ascii="楷体_GB2312" w:hAnsi="楷体_GB2312" w:eastAsia="楷体_GB2312"/>
          <w:b/>
          <w:sz w:val="32"/>
        </w:rPr>
        <w:t>（一）一般公共预算财政拨款支出决算总体情况</w:t>
      </w:r>
    </w:p>
    <w:p w14:paraId="66DC7E7E">
      <w:pPr>
        <w:spacing w:line="580" w:lineRule="exact"/>
        <w:ind w:firstLine="640"/>
        <w:jc w:val="both"/>
      </w:pPr>
      <w:r>
        <w:rPr>
          <w:rFonts w:ascii="仿宋_GB2312" w:hAnsi="仿宋_GB2312" w:eastAsia="仿宋_GB2312"/>
          <w:b/>
          <w:sz w:val="32"/>
        </w:rPr>
        <w:t>2024年度一般公共预算财政拨款支出1,536.09万元，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减少335.81万元，下降17.94%，主要原因是：本年在职人员减少，相关人员经费较上年减少；会议场地租赁费、公务接待等项目资金较上年减少。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年初预算数1,322.72万元，决算数1,536.09万元，预决算差异率16.13%，主要原因是：年中追加人员工资、社保、公积金基数调增部分资金，</w:t>
      </w:r>
      <w:r>
        <w:rPr>
          <w:rFonts w:hint="eastAsia" w:ascii="仿宋_GB2312" w:hAnsi="仿宋_GB2312" w:eastAsia="仿宋_GB2312"/>
          <w:b w:val="0"/>
          <w:sz w:val="32"/>
          <w:lang w:val="en-US" w:eastAsia="zh-CN"/>
        </w:rPr>
        <w:t>追加为民办实事项目经费，</w:t>
      </w:r>
      <w:r>
        <w:rPr>
          <w:rFonts w:ascii="仿宋_GB2312" w:hAnsi="仿宋_GB2312" w:eastAsia="仿宋_GB2312"/>
          <w:b w:val="0"/>
          <w:sz w:val="32"/>
        </w:rPr>
        <w:t>导致预决算存在差异。</w:t>
      </w:r>
    </w:p>
    <w:p w14:paraId="22023875">
      <w:pPr>
        <w:spacing w:line="640" w:lineRule="exact"/>
        <w:ind w:firstLine="640"/>
        <w:jc w:val="both"/>
        <w:outlineLvl w:val="3"/>
      </w:pPr>
      <w:r>
        <w:rPr>
          <w:rFonts w:ascii="楷体_GB2312" w:hAnsi="楷体_GB2312" w:eastAsia="楷体_GB2312"/>
          <w:b/>
          <w:sz w:val="32"/>
        </w:rPr>
        <w:t>（二）一般公共预算财政拨款支出决算结构情况</w:t>
      </w:r>
    </w:p>
    <w:p w14:paraId="435CBA83">
      <w:pPr>
        <w:spacing w:line="580" w:lineRule="exact"/>
        <w:ind w:firstLine="640"/>
        <w:jc w:val="both"/>
      </w:pPr>
      <w:r>
        <w:rPr>
          <w:rFonts w:ascii="仿宋_GB2312" w:hAnsi="仿宋_GB2312" w:eastAsia="仿宋_GB2312"/>
          <w:b w:val="0"/>
          <w:sz w:val="32"/>
        </w:rPr>
        <w:t>1.一般公共服务支出(类)1,300.17万元,占84.64%。</w:t>
      </w:r>
    </w:p>
    <w:p w14:paraId="22D347C4">
      <w:pPr>
        <w:spacing w:line="580" w:lineRule="exact"/>
        <w:ind w:firstLine="640"/>
        <w:jc w:val="both"/>
      </w:pPr>
      <w:r>
        <w:rPr>
          <w:rFonts w:ascii="仿宋_GB2312" w:hAnsi="仿宋_GB2312" w:eastAsia="仿宋_GB2312"/>
          <w:b w:val="0"/>
          <w:sz w:val="32"/>
        </w:rPr>
        <w:t>2.社会保障和就业支出(类)136.78万元,占8.90%。</w:t>
      </w:r>
    </w:p>
    <w:p w14:paraId="7A6C059D">
      <w:pPr>
        <w:spacing w:line="580" w:lineRule="exact"/>
        <w:ind w:firstLine="640"/>
        <w:jc w:val="both"/>
      </w:pPr>
      <w:r>
        <w:rPr>
          <w:rFonts w:ascii="仿宋_GB2312" w:hAnsi="仿宋_GB2312" w:eastAsia="仿宋_GB2312"/>
          <w:b w:val="0"/>
          <w:sz w:val="32"/>
        </w:rPr>
        <w:t>3.卫生健康支出(类)37.46万元,占2.44%。</w:t>
      </w:r>
    </w:p>
    <w:p w14:paraId="768D5D73">
      <w:pPr>
        <w:spacing w:line="580" w:lineRule="exact"/>
        <w:ind w:firstLine="640"/>
        <w:jc w:val="both"/>
      </w:pPr>
      <w:r>
        <w:rPr>
          <w:rFonts w:ascii="仿宋_GB2312" w:hAnsi="仿宋_GB2312" w:eastAsia="仿宋_GB2312"/>
          <w:b w:val="0"/>
          <w:sz w:val="32"/>
        </w:rPr>
        <w:t>4.住房保障支出(类)59.24万元,占3.86%。</w:t>
      </w:r>
    </w:p>
    <w:p w14:paraId="43BAA215">
      <w:pPr>
        <w:spacing w:line="580" w:lineRule="exact"/>
        <w:ind w:firstLine="640"/>
        <w:jc w:val="both"/>
      </w:pPr>
      <w:r>
        <w:rPr>
          <w:rFonts w:ascii="仿宋_GB2312" w:hAnsi="仿宋_GB2312" w:eastAsia="仿宋_GB2312"/>
          <w:b w:val="0"/>
          <w:sz w:val="32"/>
        </w:rPr>
        <w:t>5.其他支出(类)2.44万元,占0.16%。</w:t>
      </w:r>
    </w:p>
    <w:p w14:paraId="233E136A">
      <w:pPr>
        <w:spacing w:line="640" w:lineRule="exact"/>
        <w:ind w:firstLine="640"/>
        <w:jc w:val="both"/>
        <w:outlineLvl w:val="3"/>
      </w:pPr>
      <w:r>
        <w:rPr>
          <w:rFonts w:ascii="楷体_GB2312" w:hAnsi="楷体_GB2312" w:eastAsia="楷体_GB2312"/>
          <w:b/>
          <w:sz w:val="32"/>
        </w:rPr>
        <w:t>（三）一般公共预算财政拨款支出决算具体情况</w:t>
      </w:r>
    </w:p>
    <w:p w14:paraId="6F8F1EEB">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254.68万元，比上年决算减少127.50万元，下降33.36%,主要原因是：本年功能科目调整，会议场地经费上年度在此科目列支，本年调整至其他政府办公厅（室）及相关机构事务支出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经费较上年减少</w:t>
      </w:r>
      <w:r>
        <w:rPr>
          <w:rFonts w:ascii="仿宋_GB2312" w:hAnsi="仿宋_GB2312" w:eastAsia="仿宋_GB2312"/>
          <w:b w:val="0"/>
          <w:sz w:val="32"/>
        </w:rPr>
        <w:t>。</w:t>
      </w:r>
    </w:p>
    <w:p w14:paraId="2F09C48B">
      <w:pPr>
        <w:spacing w:line="580" w:lineRule="exact"/>
        <w:ind w:firstLine="640"/>
        <w:jc w:val="both"/>
      </w:pPr>
      <w:r>
        <w:rPr>
          <w:rFonts w:ascii="仿宋_GB2312" w:hAnsi="仿宋_GB2312" w:eastAsia="仿宋_GB2312"/>
          <w:b w:val="0"/>
          <w:sz w:val="32"/>
        </w:rPr>
        <w:t>2.一般公共服务支出(类)政府办公厅（室）及相关机构事务(款)机关服务(项):支出决算数为800.28万元，比上年决算减少338.10万元，下降29.70%,主要原因是：公务接待费、会议场地租赁费项目资金较上年减少。</w:t>
      </w:r>
    </w:p>
    <w:p w14:paraId="452B661D">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112.59万元，比上年决算减少38.98万元，下降25.72%,主要原因是：本年在职人员调入调出，人员职级不同，工资基数不同，导致人员经费较上年减少。</w:t>
      </w:r>
    </w:p>
    <w:p w14:paraId="39C2FE1A">
      <w:pPr>
        <w:spacing w:line="580" w:lineRule="exact"/>
        <w:ind w:firstLine="640"/>
        <w:jc w:val="both"/>
      </w:pPr>
      <w:r>
        <w:rPr>
          <w:rFonts w:ascii="仿宋_GB2312" w:hAnsi="仿宋_GB2312" w:eastAsia="仿宋_GB2312"/>
          <w:b w:val="0"/>
          <w:sz w:val="32"/>
        </w:rPr>
        <w:t>4.一般公共服务支出(类)政府办公厅（室）及相关机构事务(款)其他政府办公厅（室）及相关机构事务支出(项):支出决算数为132.61万元，比上年决算增加122.98万元，增长1,277.05%,主要原因是：本年功能科目调整，会议场地经费上年度在行政运行科目列支，本年调整至其他政府办公厅（室）及相关机构事务支出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导致经费较上年增加</w:t>
      </w:r>
      <w:r>
        <w:rPr>
          <w:rFonts w:ascii="仿宋_GB2312" w:hAnsi="仿宋_GB2312" w:eastAsia="仿宋_GB2312"/>
          <w:b w:val="0"/>
          <w:sz w:val="32"/>
        </w:rPr>
        <w:t>。</w:t>
      </w:r>
    </w:p>
    <w:p w14:paraId="51881F8B">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5.社会保障和就业支出(类)行政事业单位养老支出(款)行政单位离退休(项):支出决算数为14.13万元，比上年决算增加6.37万元，增长82.09%,主要原因是：本年增加退休人员基础绩效奖，退休费支出增加。</w:t>
      </w:r>
    </w:p>
    <w:p w14:paraId="54BA96DC">
      <w:pPr>
        <w:spacing w:line="580" w:lineRule="exact"/>
        <w:ind w:firstLine="640"/>
        <w:jc w:val="both"/>
      </w:pPr>
      <w:r>
        <w:rPr>
          <w:rFonts w:ascii="仿宋_GB2312" w:hAnsi="仿宋_GB2312" w:eastAsia="仿宋_GB2312"/>
          <w:b w:val="0"/>
          <w:sz w:val="32"/>
        </w:rPr>
        <w:t>6.社会保障和就业支出(类)行政事业单位养老支出(款)事业单位离退休(项):支出决算数为10.24万元，比上年决算增加6.68万元，增长187.64%,主要原因是：本年增加退休人员基础绩效奖，退休费支出增加。</w:t>
      </w:r>
    </w:p>
    <w:p w14:paraId="67A8C3A6">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74.00万元，比上年决算增加2.77万元，增长3.89%,主要原因是：本年在职人员工资基数调增，养老缴费基数上涨，相应支出增加。</w:t>
      </w:r>
    </w:p>
    <w:p w14:paraId="0222C5D6">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8.社会保障和就业支出(类)行政事业单位养老支出(款)机关事业单位职业年金缴费支出(项):支出决算数为38.42万元，比上年决算增加28.11万元，增长272.65%,主要原因是：本年新增退休人员</w:t>
      </w:r>
      <w:r>
        <w:rPr>
          <w:rFonts w:hint="eastAsia" w:ascii="仿宋_GB2312" w:hAnsi="仿宋_GB2312" w:eastAsia="仿宋_GB2312"/>
          <w:b w:val="0"/>
          <w:sz w:val="32"/>
          <w:lang w:val="en-US" w:eastAsia="zh-CN"/>
        </w:rPr>
        <w:t>较上年增加</w:t>
      </w:r>
      <w:r>
        <w:rPr>
          <w:rFonts w:ascii="仿宋_GB2312" w:hAnsi="仿宋_GB2312" w:eastAsia="仿宋_GB2312"/>
          <w:b w:val="0"/>
          <w:sz w:val="32"/>
        </w:rPr>
        <w:t>，职业年金缴费支出增加。</w:t>
      </w:r>
    </w:p>
    <w:p w14:paraId="42FCD5FE">
      <w:pPr>
        <w:spacing w:line="580" w:lineRule="exact"/>
        <w:ind w:firstLine="640"/>
        <w:jc w:val="both"/>
      </w:pPr>
      <w:r>
        <w:rPr>
          <w:rFonts w:ascii="仿宋_GB2312" w:hAnsi="仿宋_GB2312" w:eastAsia="仿宋_GB2312"/>
          <w:b w:val="0"/>
          <w:sz w:val="32"/>
        </w:rPr>
        <w:t>9.卫生健康支出(类)行政事业单位医疗(款)行政单位医疗(项):支出决算数为15.45万元，比上年决算增加0.67万元，增长4.53%,主要原因是：本年在职人员工资基数调增，医疗缴费基数上涨，相应支出增加。</w:t>
      </w:r>
    </w:p>
    <w:p w14:paraId="02C094C2">
      <w:pPr>
        <w:spacing w:line="580" w:lineRule="exact"/>
        <w:ind w:firstLine="640"/>
        <w:jc w:val="both"/>
      </w:pPr>
      <w:r>
        <w:rPr>
          <w:rFonts w:ascii="仿宋_GB2312" w:hAnsi="仿宋_GB2312" w:eastAsia="仿宋_GB2312"/>
          <w:b w:val="0"/>
          <w:sz w:val="32"/>
        </w:rPr>
        <w:t>10.卫生健康支出(类)行政事业单位医疗(款)事业单位医疗(项):支出决算数为18.07万元，比上年决算减少0.12万元，下降0.66%,主要原因是：本年在职人员减少，事业单位医疗支出较上年减少。</w:t>
      </w:r>
    </w:p>
    <w:p w14:paraId="38989323">
      <w:pPr>
        <w:spacing w:line="580" w:lineRule="exact"/>
        <w:ind w:firstLine="640"/>
        <w:jc w:val="both"/>
      </w:pPr>
      <w:r>
        <w:rPr>
          <w:rFonts w:ascii="仿宋_GB2312" w:hAnsi="仿宋_GB2312" w:eastAsia="仿宋_GB2312"/>
          <w:b w:val="0"/>
          <w:sz w:val="32"/>
        </w:rPr>
        <w:t>11.卫生健康支出(类)行政事业单位医疗(款)公务员医疗补助(项):支出决算数为3.94万元，比上年决算增加0.25万元，增长6.78%,主要原因是：本年在职人员工资基数调增，医疗缴费基数上涨，相应支出增加。</w:t>
      </w:r>
    </w:p>
    <w:p w14:paraId="3A7C059E">
      <w:pPr>
        <w:spacing w:line="580" w:lineRule="exact"/>
        <w:ind w:firstLine="640"/>
        <w:jc w:val="both"/>
      </w:pPr>
      <w:r>
        <w:rPr>
          <w:rFonts w:ascii="仿宋_GB2312" w:hAnsi="仿宋_GB2312" w:eastAsia="仿宋_GB2312"/>
          <w:b w:val="0"/>
          <w:sz w:val="32"/>
        </w:rPr>
        <w:t>12.农林水支出(类)巩固脱贫攻坚成果衔接乡村振兴(款)其他巩固脱贫攻坚成果衔接乡村振兴支出(项):支出决算数为0.00万元，比上年决算减少4.36万元，下降100.00%,主要原因是：本年</w:t>
      </w:r>
      <w:r>
        <w:rPr>
          <w:rFonts w:hint="eastAsia" w:ascii="仿宋_GB2312" w:hAnsi="仿宋_GB2312" w:eastAsia="仿宋_GB2312"/>
          <w:b w:val="0"/>
          <w:sz w:val="32"/>
          <w:lang w:val="en-US" w:eastAsia="zh-CN"/>
        </w:rPr>
        <w:t>未安排</w:t>
      </w:r>
      <w:r>
        <w:rPr>
          <w:rFonts w:ascii="仿宋_GB2312" w:hAnsi="仿宋_GB2312" w:eastAsia="仿宋_GB2312"/>
          <w:b w:val="0"/>
          <w:sz w:val="32"/>
        </w:rPr>
        <w:t>扶贫帮扶经费。</w:t>
      </w:r>
    </w:p>
    <w:p w14:paraId="4363B3FF">
      <w:pPr>
        <w:spacing w:line="580" w:lineRule="exact"/>
        <w:ind w:firstLine="640"/>
        <w:jc w:val="both"/>
      </w:pPr>
      <w:r>
        <w:rPr>
          <w:rFonts w:ascii="仿宋_GB2312" w:hAnsi="仿宋_GB2312" w:eastAsia="仿宋_GB2312"/>
          <w:b w:val="0"/>
          <w:sz w:val="32"/>
        </w:rPr>
        <w:t>13.住房保障支出(类)住房改革支出(款)住房公积金(项):支出决算数为59.24万元，比上年决算增加3.89万元，增长7.03%,主要原因是：本年在职人员工资基数调增，公积金缴费基数上涨，相应支出增加。</w:t>
      </w:r>
    </w:p>
    <w:p w14:paraId="35DF0DB3">
      <w:pPr>
        <w:spacing w:line="580" w:lineRule="exact"/>
        <w:ind w:firstLine="640"/>
        <w:jc w:val="both"/>
      </w:pPr>
      <w:r>
        <w:rPr>
          <w:rFonts w:ascii="仿宋_GB2312" w:hAnsi="仿宋_GB2312" w:eastAsia="仿宋_GB2312"/>
          <w:b w:val="0"/>
          <w:sz w:val="32"/>
        </w:rPr>
        <w:t>14.其他支出(类)其他支出(款)其他支出(项):支出决算数为2.44万元，比上年决算增加1.54万元，增长171.11%,主要原因是：本年为民办实事好事经费较上年增加。</w:t>
      </w:r>
    </w:p>
    <w:p w14:paraId="0BE73626">
      <w:pPr>
        <w:spacing w:line="640" w:lineRule="exact"/>
        <w:ind w:firstLine="640"/>
        <w:jc w:val="both"/>
        <w:outlineLvl w:val="2"/>
      </w:pPr>
      <w:r>
        <w:rPr>
          <w:rFonts w:ascii="黑体" w:hAnsi="黑体" w:eastAsia="黑体"/>
          <w:sz w:val="32"/>
        </w:rPr>
        <w:t>六、一般公共预算财政拨款基本支出决算情况说明</w:t>
      </w:r>
    </w:p>
    <w:p w14:paraId="1FF5D068">
      <w:pPr>
        <w:spacing w:line="580" w:lineRule="exact"/>
        <w:ind w:firstLine="640"/>
        <w:jc w:val="both"/>
      </w:pPr>
      <w:r>
        <w:rPr>
          <w:rFonts w:ascii="仿宋_GB2312" w:hAnsi="仿宋_GB2312" w:eastAsia="仿宋_GB2312"/>
          <w:b w:val="0"/>
          <w:sz w:val="32"/>
        </w:rPr>
        <w:t>2024年度一般公共预算财政拨款基本支出1,533.65万元，其中：</w:t>
      </w:r>
      <w:r>
        <w:rPr>
          <w:rFonts w:ascii="仿宋_GB2312" w:hAnsi="仿宋_GB2312" w:eastAsia="仿宋_GB2312"/>
          <w:b/>
          <w:sz w:val="32"/>
        </w:rPr>
        <w:t>人员经费807.55万元，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包括：基本工资、津贴补贴、奖金、机关事业单位基本养老保险缴费、职业年金缴费、职工基本医疗保险缴费、公务员医疗补助缴费、其他社会保障缴费、住房公积金、退休费、生活补助、奖励金。</w:t>
      </w:r>
    </w:p>
    <w:p w14:paraId="2FEB66C0">
      <w:pPr>
        <w:spacing w:line="580" w:lineRule="exact"/>
        <w:ind w:firstLine="640"/>
        <w:jc w:val="both"/>
      </w:pPr>
      <w:r>
        <w:rPr>
          <w:rFonts w:ascii="仿宋_GB2312" w:hAnsi="仿宋_GB2312" w:eastAsia="仿宋_GB2312"/>
          <w:b/>
          <w:sz w:val="32"/>
        </w:rPr>
        <w:t>公用经费726.11万元，</w:t>
      </w:r>
      <w:r>
        <w:rPr>
          <w:rFonts w:ascii="仿宋_GB2312" w:hAnsi="仿宋_GB2312" w:eastAsia="仿宋_GB2312"/>
          <w:b w:val="0"/>
          <w:sz w:val="32"/>
        </w:rPr>
        <w:t>包括：办公费、手续费、水费、电费、邮电费、取暖费、物业管理费、差旅费、维修（护）费、租赁费、公务接待费、委托业务费、工会经费、公务用车运行维护费、办公设备购置。</w:t>
      </w:r>
    </w:p>
    <w:p w14:paraId="60DF8868">
      <w:pPr>
        <w:spacing w:line="640" w:lineRule="exact"/>
        <w:ind w:firstLine="640"/>
        <w:jc w:val="both"/>
        <w:outlineLvl w:val="2"/>
      </w:pPr>
      <w:r>
        <w:rPr>
          <w:rFonts w:ascii="黑体" w:hAnsi="黑体" w:eastAsia="黑体"/>
          <w:sz w:val="32"/>
        </w:rPr>
        <w:t>七、政府性基金预算财政拨款收入支出决算情况说明</w:t>
      </w:r>
    </w:p>
    <w:p w14:paraId="75E8CA5B">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38DE3C80">
      <w:pPr>
        <w:spacing w:line="640" w:lineRule="exact"/>
        <w:ind w:firstLine="640"/>
        <w:jc w:val="both"/>
        <w:outlineLvl w:val="2"/>
      </w:pPr>
      <w:r>
        <w:rPr>
          <w:rFonts w:ascii="黑体" w:hAnsi="黑体" w:eastAsia="黑体"/>
          <w:sz w:val="32"/>
        </w:rPr>
        <w:t>八、国有资本经营预算财政拨款收入支出决算情况说明</w:t>
      </w:r>
    </w:p>
    <w:p w14:paraId="0C0090CA">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1C4825A0">
      <w:pPr>
        <w:spacing w:line="640" w:lineRule="exact"/>
        <w:ind w:firstLine="640"/>
        <w:jc w:val="both"/>
        <w:outlineLvl w:val="2"/>
      </w:pPr>
      <w:r>
        <w:rPr>
          <w:rFonts w:ascii="黑体" w:hAnsi="黑体" w:eastAsia="黑体"/>
          <w:sz w:val="32"/>
        </w:rPr>
        <w:t>九、财政拨款“三公”经费支出决算情况说明</w:t>
      </w:r>
    </w:p>
    <w:p w14:paraId="76F826A0">
      <w:pPr>
        <w:spacing w:line="580" w:lineRule="exact"/>
        <w:ind w:firstLine="640"/>
        <w:jc w:val="both"/>
      </w:pPr>
      <w:r>
        <w:rPr>
          <w:rFonts w:ascii="仿宋_GB2312" w:hAnsi="仿宋_GB2312" w:eastAsia="仿宋_GB2312"/>
          <w:b/>
          <w:sz w:val="32"/>
        </w:rPr>
        <w:t>2024年度财政拨款“三公”经费支出303.70万元，</w:t>
      </w:r>
      <w:r>
        <w:rPr>
          <w:rFonts w:ascii="仿宋_GB2312" w:hAnsi="仿宋_GB2312" w:eastAsia="仿宋_GB2312"/>
          <w:b w:val="0"/>
          <w:sz w:val="32"/>
        </w:rPr>
        <w:t>比上年减少71.51万元，下降19.06%，主要原因是：严格落实中央八项规定精神，厉行节约，减少公务接待费。其中：因公出国（境）费支出0.00万元，占0.00%，比上年增加0.00万元，增长0.00%，主要原因是：2023年与2024年均未安排因公出国（境）费支出。公务用车购置及运行维护费支出153.70万元，占50.61%，比上年增加8.09万元，增长5.56%，主要原因是：本部门公务用车日渐老化，维修维护成本增加，导致公务用车运行维护费较上年增加。公务接待费支出150.00万元，占49.39%，比上年减少79.60万元，下降34.67%，主要原因是：严格落实中央八项规定精神，厉行节约，减少公务接待费。</w:t>
      </w:r>
    </w:p>
    <w:p w14:paraId="584C8594">
      <w:pPr>
        <w:spacing w:line="580" w:lineRule="exact"/>
        <w:ind w:firstLine="640"/>
        <w:jc w:val="both"/>
      </w:pPr>
      <w:r>
        <w:rPr>
          <w:rFonts w:ascii="仿宋_GB2312" w:hAnsi="仿宋_GB2312" w:eastAsia="仿宋_GB2312"/>
          <w:b/>
          <w:sz w:val="32"/>
        </w:rPr>
        <w:t>具体情况如下：</w:t>
      </w:r>
    </w:p>
    <w:p w14:paraId="2EE311FD">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2435C695">
      <w:pPr>
        <w:spacing w:line="580" w:lineRule="exact"/>
        <w:ind w:firstLine="640"/>
        <w:jc w:val="both"/>
      </w:pPr>
      <w:r>
        <w:rPr>
          <w:rFonts w:ascii="仿宋_GB2312" w:hAnsi="仿宋_GB2312" w:eastAsia="仿宋_GB2312"/>
          <w:b w:val="0"/>
          <w:sz w:val="32"/>
        </w:rPr>
        <w:t>公务用车购置及运行维护费153.70万元，其中：公务用车购置费0.00万元，公务用车运行维护费153.70万元。公务用车运行维护费开支内容包括车辆加油费、维修费、保险费、审车费、过路费。公务用车购置数0辆，公务用车保有量62辆。国有资产占用情况中固定资产车辆6辆，与公务用车保有量差异原因是：差异车辆为县委办、政府办、人大、政协车辆，由且末县机关事务中心统一保养。</w:t>
      </w:r>
    </w:p>
    <w:p w14:paraId="5B8C2C9D">
      <w:pPr>
        <w:spacing w:line="580" w:lineRule="exact"/>
        <w:ind w:firstLine="640"/>
        <w:jc w:val="both"/>
      </w:pPr>
      <w:r>
        <w:rPr>
          <w:rFonts w:ascii="仿宋_GB2312" w:hAnsi="仿宋_GB2312" w:eastAsia="仿宋_GB2312"/>
          <w:b w:val="0"/>
          <w:sz w:val="32"/>
        </w:rPr>
        <w:t>公务接待费150.00万元，开支内容包括因工作需要，接待上级领导检查、督导组检查</w:t>
      </w:r>
      <w:r>
        <w:rPr>
          <w:rFonts w:hint="eastAsia" w:ascii="仿宋_GB2312" w:hAnsi="仿宋_GB2312" w:eastAsia="仿宋_GB2312"/>
          <w:b w:val="0"/>
          <w:sz w:val="32"/>
          <w:lang w:eastAsia="zh-CN"/>
        </w:rPr>
        <w:t>、工</w:t>
      </w:r>
      <w:r>
        <w:rPr>
          <w:rFonts w:ascii="仿宋_GB2312" w:hAnsi="仿宋_GB2312" w:eastAsia="仿宋_GB2312"/>
          <w:b w:val="0"/>
          <w:sz w:val="32"/>
        </w:rPr>
        <w:t>作小组考察学习产生的就餐费。部门全年安排的国内公务接待980批次，14,500人次。</w:t>
      </w:r>
    </w:p>
    <w:p w14:paraId="725285A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303.70万元，决算数303.70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153.70万元，决算数153.70万元，预决算差异率0.00%，主要原因是：严格按照预算执行，预决算无差异。公务接待费全年预算数150.00万元，决算数150.00万元，预决算差异率0.00%，主要原因是：严格按照预算执行，预决算无差异。</w:t>
      </w:r>
    </w:p>
    <w:p w14:paraId="132D517C">
      <w:pPr>
        <w:spacing w:line="640" w:lineRule="exact"/>
        <w:ind w:firstLine="640"/>
        <w:jc w:val="both"/>
        <w:outlineLvl w:val="2"/>
      </w:pPr>
      <w:r>
        <w:rPr>
          <w:rFonts w:ascii="黑体" w:hAnsi="黑体" w:eastAsia="黑体"/>
          <w:sz w:val="32"/>
        </w:rPr>
        <w:t>十、其他重要事项的情况说明</w:t>
      </w:r>
    </w:p>
    <w:p w14:paraId="432FDD77">
      <w:pPr>
        <w:spacing w:line="640" w:lineRule="exact"/>
        <w:ind w:firstLine="640"/>
        <w:jc w:val="both"/>
        <w:outlineLvl w:val="3"/>
      </w:pPr>
      <w:r>
        <w:rPr>
          <w:rFonts w:ascii="楷体_GB2312" w:hAnsi="楷体_GB2312" w:eastAsia="楷体_GB2312"/>
          <w:b/>
          <w:sz w:val="32"/>
        </w:rPr>
        <w:t>（一）机关运行经费及公用经费支出情况</w:t>
      </w:r>
    </w:p>
    <w:p w14:paraId="378F46FD">
      <w:pPr>
        <w:spacing w:line="580" w:lineRule="exact"/>
        <w:ind w:firstLine="640"/>
        <w:jc w:val="both"/>
      </w:pPr>
      <w:r>
        <w:rPr>
          <w:rFonts w:ascii="仿宋_GB2312" w:hAnsi="仿宋_GB2312" w:eastAsia="仿宋_GB2312"/>
          <w:b w:val="0"/>
          <w:sz w:val="32"/>
        </w:rPr>
        <w:t>2024年度且末县人民政府（部门）（行政单位和参照公务员法管理事业单位）机关运行经费支出147.21万元，比上年增加80.26万元，增长119.88%，主要原因是：本年租赁费、办公费、手续费、维修（护）费、差旅费增加，导致机关运行经费增加。</w:t>
      </w:r>
    </w:p>
    <w:p w14:paraId="3C7AD519">
      <w:pPr>
        <w:spacing w:line="580" w:lineRule="exact"/>
        <w:ind w:firstLine="640"/>
        <w:jc w:val="both"/>
      </w:pPr>
      <w:r>
        <w:rPr>
          <w:rFonts w:ascii="仿宋_GB2312" w:hAnsi="仿宋_GB2312" w:eastAsia="仿宋_GB2312"/>
          <w:b w:val="0"/>
          <w:sz w:val="32"/>
        </w:rPr>
        <w:t>2024年度且末县人民政府（部门）（事业单位）公用经费支出578.90万元，比上年减少252.09万元，下降30.34%，主要原因是：严格落实中央八项规定精神，厉行节约，减少公务接待费。</w:t>
      </w:r>
    </w:p>
    <w:p w14:paraId="08D41B6A">
      <w:pPr>
        <w:spacing w:line="640" w:lineRule="exact"/>
        <w:ind w:firstLine="640"/>
        <w:jc w:val="both"/>
        <w:outlineLvl w:val="3"/>
      </w:pPr>
      <w:r>
        <w:rPr>
          <w:rFonts w:ascii="楷体_GB2312" w:hAnsi="楷体_GB2312" w:eastAsia="楷体_GB2312"/>
          <w:b/>
          <w:sz w:val="32"/>
        </w:rPr>
        <w:t>（二）政府采购情况</w:t>
      </w:r>
    </w:p>
    <w:p w14:paraId="69BD619B">
      <w:pPr>
        <w:spacing w:line="580" w:lineRule="exact"/>
        <w:ind w:firstLine="640"/>
        <w:jc w:val="both"/>
      </w:pPr>
      <w:r>
        <w:rPr>
          <w:rFonts w:ascii="仿宋_GB2312" w:hAnsi="仿宋_GB2312" w:eastAsia="仿宋_GB2312"/>
          <w:b w:val="0"/>
          <w:sz w:val="32"/>
        </w:rPr>
        <w:t>2024年度政府采购支出总额160.64万元，其中：政府采购货物支出6.05万元、政府采购工程支出0.00万元、政府采购服务支出154.59万元。</w:t>
      </w:r>
    </w:p>
    <w:p w14:paraId="3C3111BC">
      <w:pPr>
        <w:spacing w:line="580" w:lineRule="exact"/>
        <w:ind w:firstLine="640"/>
        <w:jc w:val="both"/>
      </w:pPr>
      <w:r>
        <w:rPr>
          <w:rFonts w:ascii="仿宋_GB2312" w:hAnsi="仿宋_GB2312" w:eastAsia="仿宋_GB2312"/>
          <w:b w:val="0"/>
          <w:sz w:val="32"/>
        </w:rPr>
        <w:t>授予中小企业合同金额152.44万元，占政府采购支出总额的94.90%，其中：授予小微企业合同金额143.72万元，占政府采购支出总额的89.47%。</w:t>
      </w:r>
    </w:p>
    <w:p w14:paraId="5ECF1DE1">
      <w:pPr>
        <w:spacing w:line="640" w:lineRule="exact"/>
        <w:ind w:firstLine="640"/>
        <w:jc w:val="both"/>
        <w:outlineLvl w:val="3"/>
      </w:pPr>
      <w:r>
        <w:rPr>
          <w:rFonts w:ascii="楷体_GB2312" w:hAnsi="楷体_GB2312" w:eastAsia="楷体_GB2312"/>
          <w:b/>
          <w:sz w:val="32"/>
        </w:rPr>
        <w:t>（三）国有资产占用情况说明</w:t>
      </w:r>
    </w:p>
    <w:p w14:paraId="411876B6">
      <w:pPr>
        <w:spacing w:line="580" w:lineRule="exact"/>
        <w:ind w:firstLine="640"/>
        <w:jc w:val="both"/>
      </w:pPr>
      <w:r>
        <w:rPr>
          <w:rFonts w:ascii="仿宋_GB2312" w:hAnsi="仿宋_GB2312" w:eastAsia="仿宋_GB2312"/>
          <w:b w:val="0"/>
          <w:sz w:val="32"/>
        </w:rPr>
        <w:t>截至2024年12月31日，房屋13,051.00平方米，价值3,461.60万元。车辆6辆，价值120.00万元，其中：副部（省）级及以上领导用车0辆、主要负责人用车3辆、机要通信用车0辆、应急保障用车0辆、执法执勤用车0辆、特种专业技术用车0辆、离退休干部服务用车0辆、其他用车3辆，其他用车主要是：一般公务用车。单价100万元（含）以上设备（不含车辆）1台（套）。</w:t>
      </w:r>
    </w:p>
    <w:p w14:paraId="55FF7FDE">
      <w:pPr>
        <w:spacing w:line="640" w:lineRule="exact"/>
        <w:ind w:firstLine="640"/>
        <w:jc w:val="both"/>
        <w:outlineLvl w:val="2"/>
      </w:pPr>
      <w:r>
        <w:rPr>
          <w:rFonts w:ascii="黑体" w:hAnsi="黑体" w:eastAsia="黑体"/>
          <w:sz w:val="32"/>
        </w:rPr>
        <w:t>十一、预算绩效的情况说明</w:t>
      </w:r>
    </w:p>
    <w:p w14:paraId="189C3CCE">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1,536.09万元，实际执行总额1,536.09万元；预算绩效评价项目2个，全年预算数167.60万元，全年执行数140.70万元。预算绩效管理取得的成效：通过预算绩效管理合理使用各项资金。发现的问题及原因：对全面实施预算绩效管理的要求认识还不到位，项目申报、实施等环节与预算绩效管理各个环节联系不够紧密。下一步改进措施：今后要加强学习领会有关预算绩效管理方面的政策文件学习、提高此项工作的认识。具体附部门整体支出绩效自评表，项目支出绩效自评表。</w:t>
      </w:r>
    </w:p>
    <w:p w14:paraId="7682773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B2C91F3">
        <w:tblPrEx>
          <w:tblCellMar>
            <w:top w:w="0" w:type="dxa"/>
            <w:left w:w="108" w:type="dxa"/>
            <w:bottom w:w="0" w:type="dxa"/>
            <w:right w:w="108" w:type="dxa"/>
          </w:tblCellMar>
        </w:tblPrEx>
        <w:tc>
          <w:tcPr>
            <w:tcW w:w="8847" w:type="dxa"/>
            <w:gridSpan w:val="9"/>
            <w:vAlign w:val="center"/>
          </w:tcPr>
          <w:p w14:paraId="312FC3F1">
            <w:pPr>
              <w:jc w:val="center"/>
            </w:pPr>
            <w:r>
              <w:rPr>
                <w:rFonts w:ascii="宋体" w:hAnsi="宋体" w:eastAsia="宋体"/>
                <w:sz w:val="24"/>
              </w:rPr>
              <w:t>部门整体支出绩效自评表</w:t>
            </w:r>
          </w:p>
        </w:tc>
      </w:tr>
      <w:tr w14:paraId="36781700">
        <w:tblPrEx>
          <w:tblCellMar>
            <w:top w:w="0" w:type="dxa"/>
            <w:left w:w="108" w:type="dxa"/>
            <w:bottom w:w="0" w:type="dxa"/>
            <w:right w:w="108" w:type="dxa"/>
          </w:tblCellMar>
        </w:tblPrEx>
        <w:tc>
          <w:tcPr>
            <w:tcW w:w="8847" w:type="dxa"/>
            <w:gridSpan w:val="9"/>
            <w:vAlign w:val="center"/>
          </w:tcPr>
          <w:p w14:paraId="7075BEC4">
            <w:pPr>
              <w:jc w:val="center"/>
            </w:pPr>
            <w:r>
              <w:rPr>
                <w:rFonts w:ascii="宋体" w:hAnsi="宋体" w:eastAsia="宋体"/>
                <w:sz w:val="24"/>
              </w:rPr>
              <w:t>（2024年度）</w:t>
            </w:r>
          </w:p>
        </w:tc>
      </w:tr>
      <w:tr w14:paraId="274FC5B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A9EB1">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91BD6A3">
            <w:pPr>
              <w:jc w:val="center"/>
            </w:pPr>
            <w:r>
              <w:rPr>
                <w:rFonts w:ascii="宋体" w:hAnsi="宋体" w:eastAsia="宋体"/>
                <w:sz w:val="16"/>
              </w:rPr>
              <w:t>且末县人民政府（部门）</w:t>
            </w:r>
          </w:p>
        </w:tc>
      </w:tr>
      <w:tr w14:paraId="4A74296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8AB6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3D08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721E9">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E2D89">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D755E">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7618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3691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B0C38">
            <w:pPr>
              <w:jc w:val="center"/>
            </w:pPr>
            <w:r>
              <w:rPr>
                <w:rFonts w:ascii="宋体" w:hAnsi="宋体" w:eastAsia="宋体"/>
                <w:sz w:val="16"/>
              </w:rPr>
              <w:t>得分</w:t>
            </w:r>
          </w:p>
        </w:tc>
      </w:tr>
      <w:tr w14:paraId="633B9C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C3F89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30836">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5E6DE">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27A8A">
            <w:pPr>
              <w:jc w:val="center"/>
            </w:pPr>
            <w:r>
              <w:rPr>
                <w:rFonts w:ascii="宋体" w:hAnsi="宋体" w:eastAsia="宋体"/>
                <w:sz w:val="16"/>
              </w:rPr>
              <w:t>566.82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34DE7">
            <w:pPr>
              <w:jc w:val="center"/>
            </w:pPr>
            <w:r>
              <w:rPr>
                <w:rFonts w:ascii="宋体" w:hAnsi="宋体" w:eastAsia="宋体"/>
                <w:sz w:val="16"/>
              </w:rPr>
              <w:t>1,536.09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374DE">
            <w:pPr>
              <w:jc w:val="center"/>
            </w:pPr>
            <w:r>
              <w:rPr>
                <w:rFonts w:ascii="宋体" w:hAnsi="宋体" w:eastAsia="宋体"/>
                <w:sz w:val="16"/>
              </w:rPr>
              <w:t>1,536.09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CC0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0653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B2721">
            <w:pPr>
              <w:jc w:val="center"/>
            </w:pPr>
            <w:r>
              <w:rPr>
                <w:rFonts w:ascii="宋体" w:hAnsi="宋体" w:eastAsia="宋体"/>
                <w:sz w:val="16"/>
              </w:rPr>
              <w:t>10</w:t>
            </w:r>
          </w:p>
        </w:tc>
      </w:tr>
      <w:tr w14:paraId="012DB0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F7B9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54130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1AED9">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530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2A69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814B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DEC0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F20B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9E1FB">
            <w:pPr>
              <w:jc w:val="center"/>
            </w:pPr>
            <w:r>
              <w:rPr>
                <w:rFonts w:ascii="宋体" w:hAnsi="宋体" w:eastAsia="宋体"/>
                <w:sz w:val="16"/>
              </w:rPr>
              <w:t>-</w:t>
            </w:r>
          </w:p>
        </w:tc>
      </w:tr>
      <w:tr w14:paraId="13C65B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CE4F1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AD69E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14D94">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394FA">
            <w:pPr>
              <w:jc w:val="center"/>
            </w:pPr>
            <w:r>
              <w:rPr>
                <w:rFonts w:ascii="宋体" w:hAnsi="宋体" w:eastAsia="宋体"/>
                <w:sz w:val="16"/>
              </w:rPr>
              <w:t>566.82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96B1A">
            <w:pPr>
              <w:jc w:val="center"/>
            </w:pPr>
            <w:r>
              <w:rPr>
                <w:rFonts w:ascii="宋体" w:hAnsi="宋体" w:eastAsia="宋体"/>
                <w:sz w:val="16"/>
              </w:rPr>
              <w:t>1,536.09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46998">
            <w:pPr>
              <w:jc w:val="center"/>
            </w:pPr>
            <w:r>
              <w:rPr>
                <w:rFonts w:ascii="宋体" w:hAnsi="宋体" w:eastAsia="宋体"/>
                <w:sz w:val="16"/>
              </w:rPr>
              <w:t>1,536.09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6D8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BC64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C008B">
            <w:pPr>
              <w:jc w:val="center"/>
            </w:pPr>
            <w:r>
              <w:rPr>
                <w:rFonts w:ascii="宋体" w:hAnsi="宋体" w:eastAsia="宋体"/>
                <w:sz w:val="16"/>
              </w:rPr>
              <w:t>-</w:t>
            </w:r>
          </w:p>
        </w:tc>
      </w:tr>
      <w:tr w14:paraId="1E1972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D201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D061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755E6">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81E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6D9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424A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8A9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86D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36F5A">
            <w:pPr>
              <w:jc w:val="center"/>
            </w:pPr>
            <w:r>
              <w:rPr>
                <w:rFonts w:ascii="宋体" w:hAnsi="宋体" w:eastAsia="宋体"/>
                <w:sz w:val="16"/>
              </w:rPr>
              <w:t>-</w:t>
            </w:r>
          </w:p>
        </w:tc>
      </w:tr>
      <w:tr w14:paraId="55EEB3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91FAD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F54FE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58FDB3">
            <w:pPr>
              <w:jc w:val="center"/>
            </w:pPr>
            <w:r>
              <w:rPr>
                <w:rFonts w:ascii="宋体" w:hAnsi="宋体" w:eastAsia="宋体"/>
                <w:sz w:val="16"/>
              </w:rPr>
              <w:t>实际完成情况</w:t>
            </w:r>
          </w:p>
        </w:tc>
      </w:tr>
      <w:tr w14:paraId="380444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31C31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EBF53F">
            <w:pPr>
              <w:jc w:val="both"/>
            </w:pPr>
            <w:r>
              <w:rPr>
                <w:rFonts w:ascii="宋体" w:hAnsi="宋体" w:eastAsia="宋体"/>
                <w:sz w:val="16"/>
              </w:rPr>
              <w:t>贯彻落实自治区、自治州各项重点工作任务和且末县委、县人民政府各项决策部署,坚决执行党组织各项决定，不断提高“办文、办会、办事”综合能力,主动、优质、高效完成各项服务工作。坚持依法行政,严格规章制度和办事程序,实行科学民主决策,确保各项工作优质高效有序运转执行。</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C41355">
            <w:pPr>
              <w:jc w:val="both"/>
            </w:pPr>
            <w:r>
              <w:rPr>
                <w:rFonts w:ascii="宋体" w:hAnsi="宋体" w:eastAsia="宋体"/>
                <w:sz w:val="16"/>
              </w:rPr>
              <w:t>2024年</w:t>
            </w:r>
            <w:r>
              <w:rPr>
                <w:rFonts w:hint="eastAsia" w:ascii="宋体" w:hAnsi="宋体"/>
                <w:sz w:val="16"/>
                <w:lang w:val="en-US" w:eastAsia="zh-CN"/>
              </w:rPr>
              <w:t>本部门</w:t>
            </w:r>
            <w:r>
              <w:rPr>
                <w:rFonts w:ascii="宋体" w:hAnsi="宋体" w:eastAsia="宋体"/>
                <w:sz w:val="16"/>
              </w:rPr>
              <w:t>年初预算数566.82万元，全年执行数1536.09万元，起草、审核、下发各类文件数量32件，保障县人民政府正常运转99%，解决群众困难诉求件数52%，群众反馈满意度100%，完成不断提高“办文、办会、办事”综合能力,主动、优质、高效完成各项服务工作,确保各项工作优质高效有序运转执行。保障办公室的各项工作有效运作。</w:t>
            </w:r>
          </w:p>
        </w:tc>
      </w:tr>
      <w:tr w14:paraId="387C713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0F63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2C4A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2D45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E108A">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88FE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F228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B4B5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40345">
            <w:pPr>
              <w:jc w:val="center"/>
            </w:pPr>
            <w:r>
              <w:rPr>
                <w:rFonts w:ascii="宋体" w:hAnsi="宋体" w:eastAsia="宋体"/>
                <w:sz w:val="16"/>
              </w:rPr>
              <w:t>得分</w:t>
            </w:r>
          </w:p>
        </w:tc>
      </w:tr>
      <w:tr w14:paraId="5934BAD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CB6B1">
            <w:pPr>
              <w:jc w:val="center"/>
            </w:pPr>
            <w:r>
              <w:rPr>
                <w:rFonts w:ascii="宋体" w:hAnsi="宋体" w:eastAsia="宋体"/>
                <w:sz w:val="16"/>
              </w:rPr>
              <w:t>运行成本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8EF9A">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AD15D">
            <w:pPr>
              <w:jc w:val="center"/>
            </w:pPr>
            <w:r>
              <w:rPr>
                <w:rFonts w:ascii="宋体" w:hAnsi="宋体" w:eastAsia="宋体"/>
                <w:sz w:val="16"/>
              </w:rPr>
              <w:t>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098DD">
            <w:pPr>
              <w:jc w:val="center"/>
            </w:pPr>
            <w:r>
              <w:rPr>
                <w:rFonts w:ascii="宋体" w:hAnsi="宋体" w:eastAsia="宋体"/>
                <w:sz w:val="16"/>
              </w:rPr>
              <w:t>&lt;=1326.82万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31B9C">
            <w:pPr>
              <w:jc w:val="center"/>
            </w:pPr>
            <w:r>
              <w:rPr>
                <w:rFonts w:ascii="宋体" w:hAnsi="宋体" w:eastAsia="宋体"/>
                <w:sz w:val="16"/>
              </w:rPr>
              <w:t>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B0A6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4B671">
            <w:pPr>
              <w:jc w:val="center"/>
            </w:pPr>
            <w:r>
              <w:rPr>
                <w:rFonts w:ascii="宋体" w:hAnsi="宋体" w:eastAsia="宋体"/>
                <w:sz w:val="16"/>
              </w:rPr>
              <w:t>1536.09万元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BF734">
            <w:pPr>
              <w:jc w:val="center"/>
            </w:pPr>
            <w:r>
              <w:rPr>
                <w:rFonts w:ascii="宋体" w:hAnsi="宋体" w:eastAsia="宋体"/>
                <w:sz w:val="16"/>
              </w:rPr>
              <w:t>18</w:t>
            </w:r>
          </w:p>
        </w:tc>
      </w:tr>
      <w:tr w14:paraId="4A046AE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8B54C9">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F82BB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9754E">
            <w:pPr>
              <w:jc w:val="center"/>
            </w:pPr>
            <w:r>
              <w:rPr>
                <w:rFonts w:ascii="宋体" w:hAnsi="宋体" w:eastAsia="宋体"/>
                <w:sz w:val="16"/>
              </w:rPr>
              <w:t>起草，审核，下发各类文件数量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C1AE9">
            <w:pPr>
              <w:jc w:val="center"/>
            </w:pPr>
            <w:r>
              <w:rPr>
                <w:rFonts w:ascii="宋体" w:hAnsi="宋体" w:eastAsia="宋体"/>
                <w:sz w:val="16"/>
              </w:rPr>
              <w:t>&gt;=32件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0FC14">
            <w:pPr>
              <w:jc w:val="center"/>
            </w:pPr>
            <w:r>
              <w:rPr>
                <w:rFonts w:ascii="宋体" w:hAnsi="宋体" w:eastAsia="宋体"/>
                <w:sz w:val="16"/>
              </w:rPr>
              <w:t>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D6BB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B8327">
            <w:pPr>
              <w:jc w:val="center"/>
            </w:pPr>
            <w:r>
              <w:rPr>
                <w:rFonts w:ascii="宋体" w:hAnsi="宋体" w:eastAsia="宋体"/>
                <w:sz w:val="16"/>
              </w:rPr>
              <w:t>32件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11AB3">
            <w:pPr>
              <w:jc w:val="center"/>
            </w:pPr>
            <w:r>
              <w:rPr>
                <w:rFonts w:ascii="宋体" w:hAnsi="宋体" w:eastAsia="宋体"/>
                <w:sz w:val="16"/>
              </w:rPr>
              <w:t>20</w:t>
            </w:r>
          </w:p>
        </w:tc>
      </w:tr>
      <w:tr w14:paraId="1930A2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1E02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AE4C7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D9171">
            <w:pPr>
              <w:jc w:val="center"/>
            </w:pPr>
            <w:r>
              <w:rPr>
                <w:rFonts w:ascii="宋体" w:hAnsi="宋体" w:eastAsia="宋体"/>
                <w:sz w:val="16"/>
              </w:rPr>
              <w:t>保障县人民政府正常运转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800A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150DD">
            <w:pPr>
              <w:jc w:val="center"/>
            </w:pPr>
            <w:r>
              <w:rPr>
                <w:rFonts w:ascii="宋体" w:hAnsi="宋体" w:eastAsia="宋体"/>
                <w:sz w:val="16"/>
              </w:rPr>
              <w:t>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14DC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080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AB7BB">
            <w:pPr>
              <w:jc w:val="center"/>
            </w:pPr>
            <w:r>
              <w:rPr>
                <w:rFonts w:ascii="宋体" w:hAnsi="宋体" w:eastAsia="宋体"/>
                <w:sz w:val="16"/>
              </w:rPr>
              <w:t>20</w:t>
            </w:r>
          </w:p>
        </w:tc>
      </w:tr>
      <w:tr w14:paraId="007A00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95A7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77A5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DFCA2">
            <w:pPr>
              <w:jc w:val="center"/>
            </w:pPr>
            <w:r>
              <w:rPr>
                <w:rFonts w:ascii="宋体" w:hAnsi="宋体" w:eastAsia="宋体"/>
                <w:sz w:val="16"/>
              </w:rPr>
              <w:t>解决群众困难诉求件数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81AA3">
            <w:pPr>
              <w:jc w:val="center"/>
            </w:pPr>
            <w:r>
              <w:rPr>
                <w:rFonts w:ascii="宋体" w:hAnsi="宋体" w:eastAsia="宋体"/>
                <w:sz w:val="16"/>
              </w:rPr>
              <w:t>&gt;=25件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5BFFD">
            <w:pPr>
              <w:jc w:val="center"/>
            </w:pPr>
            <w:r>
              <w:rPr>
                <w:rFonts w:ascii="宋体" w:hAnsi="宋体" w:eastAsia="宋体"/>
                <w:sz w:val="16"/>
              </w:rPr>
              <w:t>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3B18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136A5">
            <w:pPr>
              <w:jc w:val="center"/>
            </w:pPr>
            <w:r>
              <w:rPr>
                <w:rFonts w:ascii="宋体" w:hAnsi="宋体" w:eastAsia="宋体"/>
                <w:sz w:val="16"/>
              </w:rPr>
              <w:t>25件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00F70">
            <w:pPr>
              <w:jc w:val="center"/>
            </w:pPr>
            <w:r>
              <w:rPr>
                <w:rFonts w:ascii="宋体" w:hAnsi="宋体" w:eastAsia="宋体"/>
                <w:sz w:val="16"/>
              </w:rPr>
              <w:t>20</w:t>
            </w:r>
          </w:p>
        </w:tc>
      </w:tr>
      <w:tr w14:paraId="79BE38F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60EE7">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C49E2">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9527B">
            <w:pPr>
              <w:jc w:val="center"/>
            </w:pPr>
            <w:r>
              <w:rPr>
                <w:rFonts w:ascii="宋体" w:hAnsi="宋体" w:eastAsia="宋体"/>
                <w:sz w:val="16"/>
              </w:rPr>
              <w:t>群众反馈满意度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BBFC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2EA3D">
            <w:pPr>
              <w:jc w:val="center"/>
            </w:pPr>
            <w:r>
              <w:rPr>
                <w:rFonts w:ascii="宋体" w:hAnsi="宋体" w:eastAsia="宋体"/>
                <w:sz w:val="16"/>
              </w:rPr>
              <w:t>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A7A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68DC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F6906">
            <w:pPr>
              <w:jc w:val="center"/>
            </w:pPr>
            <w:r>
              <w:rPr>
                <w:rFonts w:ascii="宋体" w:hAnsi="宋体" w:eastAsia="宋体"/>
                <w:sz w:val="16"/>
              </w:rPr>
              <w:t>10</w:t>
            </w:r>
          </w:p>
        </w:tc>
      </w:tr>
    </w:tbl>
    <w:p w14:paraId="4D9B06B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0E73ABFD">
        <w:tc>
          <w:tcPr>
            <w:tcW w:w="8848" w:type="dxa"/>
            <w:gridSpan w:val="14"/>
            <w:vAlign w:val="center"/>
          </w:tcPr>
          <w:p w14:paraId="048AC72B">
            <w:pPr>
              <w:jc w:val="center"/>
            </w:pPr>
            <w:r>
              <w:rPr>
                <w:rFonts w:ascii="宋体" w:hAnsi="宋体" w:eastAsia="宋体"/>
                <w:sz w:val="24"/>
              </w:rPr>
              <w:t>项目支出绩效自评表</w:t>
            </w:r>
          </w:p>
        </w:tc>
      </w:tr>
      <w:tr w14:paraId="19796887">
        <w:tblPrEx>
          <w:tblCellMar>
            <w:top w:w="0" w:type="dxa"/>
            <w:left w:w="108" w:type="dxa"/>
            <w:bottom w:w="0" w:type="dxa"/>
            <w:right w:w="108" w:type="dxa"/>
          </w:tblCellMar>
        </w:tblPrEx>
        <w:tc>
          <w:tcPr>
            <w:tcW w:w="8848" w:type="dxa"/>
            <w:gridSpan w:val="14"/>
            <w:vAlign w:val="center"/>
          </w:tcPr>
          <w:p w14:paraId="63EA268D">
            <w:pPr>
              <w:jc w:val="center"/>
            </w:pPr>
            <w:r>
              <w:rPr>
                <w:rFonts w:ascii="宋体" w:hAnsi="宋体" w:eastAsia="宋体"/>
                <w:sz w:val="24"/>
              </w:rPr>
              <w:t>(2024年度)</w:t>
            </w:r>
          </w:p>
        </w:tc>
      </w:tr>
      <w:tr w14:paraId="322BF0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5B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011959">
            <w:pPr>
              <w:jc w:val="center"/>
            </w:pPr>
            <w:r>
              <w:rPr>
                <w:rFonts w:ascii="宋体" w:hAnsi="宋体" w:eastAsia="宋体"/>
                <w:sz w:val="16"/>
              </w:rPr>
              <w:t>县宾馆会议室场地租赁费</w:t>
            </w:r>
          </w:p>
        </w:tc>
      </w:tr>
      <w:tr w14:paraId="23813D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3E7A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1DAD14">
            <w:pPr>
              <w:jc w:val="center"/>
            </w:pPr>
            <w:r>
              <w:rPr>
                <w:rFonts w:ascii="宋体" w:hAnsi="宋体" w:eastAsia="宋体"/>
                <w:sz w:val="16"/>
              </w:rPr>
              <w:t>且末县人民政府办公室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65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F37A74">
            <w:pPr>
              <w:jc w:val="center"/>
            </w:pPr>
            <w:r>
              <w:rPr>
                <w:rFonts w:ascii="宋体" w:hAnsi="宋体" w:eastAsia="宋体"/>
                <w:sz w:val="16"/>
              </w:rPr>
              <w:t>且末县人民政府办公室</w:t>
            </w:r>
          </w:p>
        </w:tc>
      </w:tr>
      <w:tr w14:paraId="3DB3FE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FCD4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87B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7B44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53D4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90A1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561C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103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EBC0">
            <w:pPr>
              <w:jc w:val="center"/>
            </w:pPr>
            <w:r>
              <w:rPr>
                <w:rFonts w:ascii="宋体" w:hAnsi="宋体" w:eastAsia="宋体"/>
                <w:sz w:val="16"/>
              </w:rPr>
              <w:t>得分</w:t>
            </w:r>
          </w:p>
        </w:tc>
      </w:tr>
      <w:tr w14:paraId="0EE17A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BA77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23A6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20125">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846A9">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3AA98">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CAD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3C80D">
            <w:pPr>
              <w:jc w:val="center"/>
            </w:pPr>
            <w:r>
              <w:rPr>
                <w:rFonts w:ascii="宋体" w:hAnsi="宋体" w:eastAsia="宋体"/>
                <w:sz w:val="16"/>
              </w:rPr>
              <w:t>87.50%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6F4DF">
            <w:pPr>
              <w:jc w:val="center"/>
            </w:pPr>
            <w:r>
              <w:rPr>
                <w:rFonts w:ascii="宋体" w:hAnsi="宋体" w:eastAsia="宋体"/>
                <w:sz w:val="16"/>
              </w:rPr>
              <w:t>6.88</w:t>
            </w:r>
          </w:p>
        </w:tc>
      </w:tr>
      <w:tr w14:paraId="77C4B4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951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81F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6D64E">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A1AA4">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30BD2">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1AC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FFE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4D087">
            <w:pPr>
              <w:jc w:val="center"/>
            </w:pPr>
            <w:r>
              <w:rPr>
                <w:rFonts w:ascii="宋体" w:hAnsi="宋体" w:eastAsia="宋体"/>
                <w:sz w:val="16"/>
              </w:rPr>
              <w:t>-</w:t>
            </w:r>
          </w:p>
        </w:tc>
      </w:tr>
      <w:tr w14:paraId="636C3C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9E7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3247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B58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0C3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D80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294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AE9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19BAB">
            <w:pPr>
              <w:jc w:val="center"/>
            </w:pPr>
            <w:r>
              <w:rPr>
                <w:rFonts w:ascii="宋体" w:hAnsi="宋体" w:eastAsia="宋体"/>
                <w:sz w:val="16"/>
              </w:rPr>
              <w:t>-</w:t>
            </w:r>
          </w:p>
        </w:tc>
      </w:tr>
      <w:tr w14:paraId="323A62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9FE5A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5C480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2BBF83">
            <w:pPr>
              <w:jc w:val="center"/>
            </w:pPr>
            <w:r>
              <w:rPr>
                <w:rFonts w:ascii="宋体" w:hAnsi="宋体" w:eastAsia="宋体"/>
                <w:sz w:val="16"/>
              </w:rPr>
              <w:t>总体目标完成情况</w:t>
            </w:r>
          </w:p>
        </w:tc>
      </w:tr>
      <w:tr w14:paraId="31471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7A2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F9F337">
            <w:pPr>
              <w:jc w:val="both"/>
            </w:pPr>
            <w:r>
              <w:rPr>
                <w:rFonts w:ascii="宋体" w:hAnsi="宋体" w:eastAsia="宋体"/>
                <w:sz w:val="16"/>
              </w:rPr>
              <w:t>本项目资金120万元，用于保证县上重大会议决策能够顺利进行，提高政府办公效率，提高经济发展。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E17759">
            <w:pPr>
              <w:jc w:val="both"/>
            </w:pPr>
            <w:r>
              <w:rPr>
                <w:rFonts w:ascii="宋体" w:hAnsi="宋体" w:eastAsia="宋体"/>
                <w:sz w:val="16"/>
              </w:rPr>
              <w:t>本项目资金120万元，实际支付执行数是105万元，保障会议次数50次，会议人数350人，会议天数50天，用于保证县上重大会议决策能够顺利进行，提高政府办公效率，提高经济发展。</w:t>
            </w:r>
          </w:p>
        </w:tc>
      </w:tr>
      <w:tr w14:paraId="710CB2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FB54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50F1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246F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1BE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6B3B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296D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4979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450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02AC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1F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091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4C42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BA6C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0DEE">
            <w:pPr>
              <w:jc w:val="center"/>
            </w:pPr>
            <w:r>
              <w:rPr>
                <w:rFonts w:ascii="宋体" w:hAnsi="宋体" w:eastAsia="宋体"/>
                <w:sz w:val="16"/>
              </w:rPr>
              <w:t>偏差原因分析及改进措施</w:t>
            </w:r>
          </w:p>
        </w:tc>
      </w:tr>
      <w:tr w14:paraId="590CC5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60C7F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25F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808E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768E">
            <w:pPr>
              <w:jc w:val="center"/>
            </w:pPr>
            <w:r>
              <w:rPr>
                <w:rFonts w:ascii="宋体" w:hAnsi="宋体" w:eastAsia="宋体"/>
                <w:sz w:val="16"/>
              </w:rPr>
              <w:t>会议次数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1EEE6">
            <w:pPr>
              <w:jc w:val="center"/>
            </w:pPr>
            <w:r>
              <w:rPr>
                <w:rFonts w:ascii="宋体" w:hAnsi="宋体" w:eastAsia="宋体"/>
                <w:sz w:val="16"/>
              </w:rPr>
              <w:t>&gt;=50次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AAC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59B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0F1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51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593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AE507">
            <w:pPr>
              <w:jc w:val="center"/>
            </w:pPr>
            <w:r>
              <w:rPr>
                <w:rFonts w:ascii="宋体" w:hAnsi="宋体" w:eastAsia="宋体"/>
                <w:sz w:val="16"/>
              </w:rPr>
              <w:t>=50次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687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DBB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C7D2">
            <w:pPr>
              <w:jc w:val="center"/>
            </w:pPr>
          </w:p>
        </w:tc>
      </w:tr>
      <w:tr w14:paraId="37C014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787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CF3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B30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93B22">
            <w:pPr>
              <w:jc w:val="center"/>
            </w:pPr>
            <w:r>
              <w:rPr>
                <w:rFonts w:ascii="宋体" w:hAnsi="宋体" w:eastAsia="宋体"/>
                <w:sz w:val="16"/>
              </w:rPr>
              <w:t>会议人数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B070C">
            <w:pPr>
              <w:jc w:val="center"/>
            </w:pPr>
            <w:r>
              <w:rPr>
                <w:rFonts w:ascii="宋体" w:hAnsi="宋体" w:eastAsia="宋体"/>
                <w:sz w:val="16"/>
              </w:rPr>
              <w:t>&gt;=350人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DC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0B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3D18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1F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130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B275">
            <w:pPr>
              <w:jc w:val="center"/>
            </w:pPr>
            <w:r>
              <w:rPr>
                <w:rFonts w:ascii="宋体" w:hAnsi="宋体" w:eastAsia="宋体"/>
                <w:sz w:val="16"/>
              </w:rPr>
              <w:t>=350人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A7F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F38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38F7">
            <w:pPr>
              <w:jc w:val="center"/>
            </w:pPr>
          </w:p>
        </w:tc>
      </w:tr>
      <w:tr w14:paraId="25F10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AC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780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75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14AEA">
            <w:pPr>
              <w:jc w:val="center"/>
            </w:pPr>
            <w:r>
              <w:rPr>
                <w:rFonts w:ascii="宋体" w:hAnsi="宋体" w:eastAsia="宋体"/>
                <w:sz w:val="16"/>
              </w:rPr>
              <w:t>会议天数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C7770">
            <w:pPr>
              <w:jc w:val="center"/>
            </w:pPr>
            <w:r>
              <w:rPr>
                <w:rFonts w:ascii="宋体" w:hAnsi="宋体" w:eastAsia="宋体"/>
                <w:sz w:val="16"/>
              </w:rPr>
              <w:t>&gt;=50天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08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90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0F2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F9A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B77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65321">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C8C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BEA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E67B">
            <w:pPr>
              <w:jc w:val="center"/>
            </w:pPr>
          </w:p>
        </w:tc>
      </w:tr>
      <w:tr w14:paraId="73C8F3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0D2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F4C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171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7F6F">
            <w:pPr>
              <w:jc w:val="center"/>
            </w:pPr>
            <w:r>
              <w:rPr>
                <w:rFonts w:ascii="宋体" w:hAnsi="宋体" w:eastAsia="宋体"/>
                <w:sz w:val="16"/>
              </w:rPr>
              <w:t>会议出勤率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EA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069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FD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B73D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43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2DC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61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A8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4E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3009A">
            <w:pPr>
              <w:jc w:val="center"/>
            </w:pPr>
          </w:p>
        </w:tc>
      </w:tr>
      <w:tr w14:paraId="44CE2A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6A8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6B1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0382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6166">
            <w:pPr>
              <w:jc w:val="center"/>
            </w:pPr>
            <w:r>
              <w:rPr>
                <w:rFonts w:ascii="宋体" w:hAnsi="宋体" w:eastAsia="宋体"/>
                <w:sz w:val="16"/>
              </w:rPr>
              <w:t>会议完成率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08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2A5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078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21A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DF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36B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868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033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4B4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20D9">
            <w:pPr>
              <w:jc w:val="center"/>
            </w:pPr>
          </w:p>
        </w:tc>
      </w:tr>
      <w:tr w14:paraId="7C0FEF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777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73ED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5A4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8682D">
            <w:pPr>
              <w:jc w:val="center"/>
            </w:pPr>
            <w:r>
              <w:rPr>
                <w:rFonts w:ascii="宋体" w:hAnsi="宋体" w:eastAsia="宋体"/>
                <w:sz w:val="16"/>
              </w:rPr>
              <w:t>会议标准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0ECB">
            <w:pPr>
              <w:jc w:val="center"/>
            </w:pPr>
            <w:r>
              <w:rPr>
                <w:rFonts w:ascii="宋体" w:hAnsi="宋体" w:eastAsia="宋体"/>
                <w:sz w:val="16"/>
              </w:rPr>
              <w:t>&lt;=2万元/次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AC3C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C34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096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27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6CC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CAABF">
            <w:pPr>
              <w:jc w:val="center"/>
            </w:pPr>
            <w:r>
              <w:rPr>
                <w:rFonts w:ascii="宋体" w:hAnsi="宋体" w:eastAsia="宋体"/>
                <w:sz w:val="16"/>
              </w:rPr>
              <w:t>=2万元/次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1A3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033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C63E">
            <w:pPr>
              <w:jc w:val="center"/>
            </w:pPr>
            <w:r>
              <w:rPr>
                <w:rFonts w:ascii="宋体" w:hAnsi="宋体" w:eastAsia="宋体"/>
                <w:sz w:val="16"/>
              </w:rPr>
              <w:t>资金到位偏慢。</w:t>
            </w:r>
          </w:p>
        </w:tc>
      </w:tr>
      <w:tr w14:paraId="52E99C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204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6321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9B3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B17BC">
            <w:pPr>
              <w:jc w:val="center"/>
            </w:pPr>
            <w:r>
              <w:rPr>
                <w:rFonts w:ascii="宋体" w:hAnsi="宋体" w:eastAsia="宋体"/>
                <w:sz w:val="16"/>
              </w:rPr>
              <w:t>提高政府办公效率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C29F1">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A91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1E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17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7CA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C1EF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12CF1">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0A3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255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94EE">
            <w:pPr>
              <w:jc w:val="center"/>
            </w:pPr>
            <w:r>
              <w:rPr>
                <w:rFonts w:ascii="宋体" w:hAnsi="宋体" w:eastAsia="宋体"/>
                <w:sz w:val="16"/>
              </w:rPr>
              <w:t>办公效率偏低</w:t>
            </w:r>
          </w:p>
        </w:tc>
      </w:tr>
      <w:tr w14:paraId="0E04E3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1A1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21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EC4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0B65">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580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974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D4E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88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7A8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C9A9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01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82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216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95407">
            <w:pPr>
              <w:jc w:val="center"/>
            </w:pPr>
            <w:r>
              <w:rPr>
                <w:rFonts w:ascii="宋体" w:hAnsi="宋体" w:eastAsia="宋体"/>
                <w:sz w:val="16"/>
              </w:rPr>
              <w:t>满意度偏差。</w:t>
            </w:r>
          </w:p>
        </w:tc>
      </w:tr>
      <w:tr w14:paraId="52596D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83C2E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6B6F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B27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4A4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9C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B17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ECA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9A6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19F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4C86">
            <w:pPr>
              <w:jc w:val="center"/>
            </w:pPr>
            <w:r>
              <w:rPr>
                <w:rFonts w:ascii="宋体" w:hAnsi="宋体" w:eastAsia="宋体"/>
                <w:sz w:val="16"/>
              </w:rPr>
              <w:t>96.88分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C848B3"/>
        </w:tc>
      </w:tr>
    </w:tbl>
    <w:p w14:paraId="64C55D7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32"/>
        <w:gridCol w:w="632"/>
      </w:tblGrid>
      <w:tr w14:paraId="3843B177">
        <w:tblPrEx>
          <w:tblCellMar>
            <w:top w:w="0" w:type="dxa"/>
            <w:left w:w="108" w:type="dxa"/>
            <w:bottom w:w="0" w:type="dxa"/>
            <w:right w:w="108" w:type="dxa"/>
          </w:tblCellMar>
        </w:tblPrEx>
        <w:tc>
          <w:tcPr>
            <w:tcW w:w="8848" w:type="dxa"/>
            <w:gridSpan w:val="14"/>
            <w:vAlign w:val="center"/>
          </w:tcPr>
          <w:p w14:paraId="43216A61">
            <w:pPr>
              <w:jc w:val="center"/>
            </w:pPr>
            <w:r>
              <w:rPr>
                <w:rFonts w:ascii="宋体" w:hAnsi="宋体" w:eastAsia="宋体"/>
                <w:sz w:val="24"/>
              </w:rPr>
              <w:t>项目支出绩效自评表</w:t>
            </w:r>
          </w:p>
        </w:tc>
      </w:tr>
      <w:tr w14:paraId="52E2A34E">
        <w:tblPrEx>
          <w:tblCellMar>
            <w:top w:w="0" w:type="dxa"/>
            <w:left w:w="108" w:type="dxa"/>
            <w:bottom w:w="0" w:type="dxa"/>
            <w:right w:w="108" w:type="dxa"/>
          </w:tblCellMar>
        </w:tblPrEx>
        <w:tc>
          <w:tcPr>
            <w:tcW w:w="8848" w:type="dxa"/>
            <w:gridSpan w:val="14"/>
            <w:vAlign w:val="center"/>
          </w:tcPr>
          <w:p w14:paraId="2E8E7C19">
            <w:pPr>
              <w:jc w:val="center"/>
            </w:pPr>
            <w:r>
              <w:rPr>
                <w:rFonts w:ascii="宋体" w:hAnsi="宋体" w:eastAsia="宋体"/>
                <w:sz w:val="24"/>
              </w:rPr>
              <w:t>(2024年度)</w:t>
            </w:r>
          </w:p>
        </w:tc>
      </w:tr>
      <w:tr w14:paraId="51B6C1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731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70F35B">
            <w:pPr>
              <w:jc w:val="center"/>
            </w:pPr>
            <w:r>
              <w:rPr>
                <w:rFonts w:ascii="宋体" w:hAnsi="宋体" w:eastAsia="宋体"/>
                <w:sz w:val="16"/>
              </w:rPr>
              <w:t>且末县党政办公大楼及行政事业单位网费项目</w:t>
            </w:r>
          </w:p>
        </w:tc>
      </w:tr>
      <w:tr w14:paraId="4824CB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BD4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72612F">
            <w:pPr>
              <w:jc w:val="center"/>
            </w:pPr>
            <w:r>
              <w:rPr>
                <w:rFonts w:ascii="宋体" w:hAnsi="宋体" w:eastAsia="宋体"/>
                <w:sz w:val="16"/>
              </w:rPr>
              <w:t>且末县人民政府办公室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61B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509DA9">
            <w:pPr>
              <w:jc w:val="center"/>
            </w:pPr>
            <w:r>
              <w:rPr>
                <w:rFonts w:ascii="宋体" w:hAnsi="宋体" w:eastAsia="宋体"/>
                <w:sz w:val="16"/>
              </w:rPr>
              <w:t>且末县机关事务中心</w:t>
            </w:r>
          </w:p>
        </w:tc>
      </w:tr>
      <w:tr w14:paraId="2C9496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D424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EAEC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500A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618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728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D218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4EBD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278F">
            <w:pPr>
              <w:jc w:val="center"/>
            </w:pPr>
            <w:r>
              <w:rPr>
                <w:rFonts w:ascii="宋体" w:hAnsi="宋体" w:eastAsia="宋体"/>
                <w:sz w:val="16"/>
              </w:rPr>
              <w:t>得分</w:t>
            </w:r>
          </w:p>
        </w:tc>
      </w:tr>
      <w:tr w14:paraId="58AAF9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B0564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7DE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5CCF4">
            <w:pPr>
              <w:jc w:val="center"/>
            </w:pPr>
            <w:r>
              <w:rPr>
                <w:rFonts w:ascii="宋体" w:hAnsi="宋体" w:eastAsia="宋体"/>
                <w:sz w:val="16"/>
              </w:rPr>
              <w:t>47.60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4B39A">
            <w:pPr>
              <w:jc w:val="center"/>
            </w:pPr>
            <w:r>
              <w:rPr>
                <w:rFonts w:ascii="宋体" w:hAnsi="宋体" w:eastAsia="宋体"/>
                <w:sz w:val="16"/>
              </w:rPr>
              <w:t>47.60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AE9A4">
            <w:pPr>
              <w:jc w:val="center"/>
            </w:pPr>
            <w:r>
              <w:rPr>
                <w:rFonts w:ascii="宋体" w:hAnsi="宋体" w:eastAsia="宋体"/>
                <w:sz w:val="16"/>
              </w:rPr>
              <w:t>35.70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2C3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BFA3C">
            <w:pPr>
              <w:jc w:val="center"/>
            </w:pPr>
            <w:r>
              <w:rPr>
                <w:rFonts w:ascii="宋体" w:hAnsi="宋体" w:eastAsia="宋体"/>
                <w:sz w:val="16"/>
              </w:rPr>
              <w:t>75.00%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EC31C">
            <w:pPr>
              <w:jc w:val="center"/>
            </w:pPr>
            <w:r>
              <w:rPr>
                <w:rFonts w:ascii="宋体" w:hAnsi="宋体" w:eastAsia="宋体"/>
                <w:sz w:val="16"/>
              </w:rPr>
              <w:t>3.75</w:t>
            </w:r>
          </w:p>
        </w:tc>
      </w:tr>
      <w:tr w14:paraId="06AC09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3A1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503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F6541">
            <w:pPr>
              <w:jc w:val="center"/>
            </w:pPr>
            <w:r>
              <w:rPr>
                <w:rFonts w:ascii="宋体" w:hAnsi="宋体" w:eastAsia="宋体"/>
                <w:sz w:val="16"/>
              </w:rPr>
              <w:t>47.60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4D824">
            <w:pPr>
              <w:jc w:val="center"/>
            </w:pPr>
            <w:r>
              <w:rPr>
                <w:rFonts w:ascii="宋体" w:hAnsi="宋体" w:eastAsia="宋体"/>
                <w:sz w:val="16"/>
              </w:rPr>
              <w:t>47.60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15692">
            <w:pPr>
              <w:jc w:val="center"/>
            </w:pPr>
            <w:r>
              <w:rPr>
                <w:rFonts w:ascii="宋体" w:hAnsi="宋体" w:eastAsia="宋体"/>
                <w:sz w:val="16"/>
              </w:rPr>
              <w:t>35.70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7ACD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90B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C99B0">
            <w:pPr>
              <w:jc w:val="center"/>
            </w:pPr>
            <w:r>
              <w:rPr>
                <w:rFonts w:ascii="宋体" w:hAnsi="宋体" w:eastAsia="宋体"/>
                <w:sz w:val="16"/>
              </w:rPr>
              <w:t>-</w:t>
            </w:r>
          </w:p>
        </w:tc>
      </w:tr>
      <w:tr w14:paraId="09FFA8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3C5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F9B6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120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99D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9A3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183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1BC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82102">
            <w:pPr>
              <w:jc w:val="center"/>
            </w:pPr>
            <w:r>
              <w:rPr>
                <w:rFonts w:ascii="宋体" w:hAnsi="宋体" w:eastAsia="宋体"/>
                <w:sz w:val="16"/>
              </w:rPr>
              <w:t>-</w:t>
            </w:r>
          </w:p>
        </w:tc>
      </w:tr>
      <w:tr w14:paraId="3882A4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37F0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51F98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175745">
            <w:pPr>
              <w:jc w:val="center"/>
            </w:pPr>
            <w:r>
              <w:rPr>
                <w:rFonts w:ascii="宋体" w:hAnsi="宋体" w:eastAsia="宋体"/>
                <w:sz w:val="16"/>
              </w:rPr>
              <w:t>总体目标完成情况</w:t>
            </w:r>
          </w:p>
        </w:tc>
      </w:tr>
      <w:tr w14:paraId="02D860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7F46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286C24">
            <w:pPr>
              <w:jc w:val="both"/>
            </w:pPr>
            <w:r>
              <w:rPr>
                <w:rFonts w:ascii="宋体" w:hAnsi="宋体" w:eastAsia="宋体"/>
                <w:sz w:val="16"/>
              </w:rPr>
              <w:t>目前行政事业单位网费项目支出35.7万元，普通宽带180条、政务内网18条、政务外网18条、视联网12条、视联网10条、高考互联网2条、互联网专线1条、固话370、等已达到预期效果。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E7A222">
            <w:pPr>
              <w:jc w:val="both"/>
            </w:pPr>
            <w:r>
              <w:rPr>
                <w:rFonts w:ascii="宋体" w:hAnsi="宋体" w:eastAsia="宋体"/>
                <w:sz w:val="16"/>
              </w:rPr>
              <w:t>前行政事业单位网费项目支出35.7万元，普通宽带180条、政务内网18条、政务外网18条、视联网12条、视联网10条、高考互联网2条、互联网专线1条、固话370、确保固话、互联网、内网、财政专线畅通</w:t>
            </w:r>
          </w:p>
        </w:tc>
      </w:tr>
      <w:tr w14:paraId="026B7E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98A0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611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B6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9820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474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F520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36B3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98E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D9E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AC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1696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2AC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F9C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9473B">
            <w:pPr>
              <w:jc w:val="center"/>
            </w:pPr>
            <w:r>
              <w:rPr>
                <w:rFonts w:ascii="宋体" w:hAnsi="宋体" w:eastAsia="宋体"/>
                <w:sz w:val="16"/>
              </w:rPr>
              <w:t>偏差原因分析及改进措施</w:t>
            </w:r>
          </w:p>
        </w:tc>
      </w:tr>
      <w:tr w14:paraId="5BF7D5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F2357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50C91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16ED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A6D07">
            <w:pPr>
              <w:jc w:val="center"/>
            </w:pPr>
            <w:r>
              <w:rPr>
                <w:rFonts w:ascii="宋体" w:hAnsi="宋体" w:eastAsia="宋体"/>
                <w:sz w:val="16"/>
              </w:rPr>
              <w:t>固话使用量（台）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4FF02">
            <w:pPr>
              <w:jc w:val="center"/>
            </w:pPr>
            <w:r>
              <w:rPr>
                <w:rFonts w:ascii="宋体" w:hAnsi="宋体" w:eastAsia="宋体"/>
                <w:sz w:val="16"/>
              </w:rPr>
              <w:t>&gt;=370台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72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2F0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D79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6D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81B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23511">
            <w:pPr>
              <w:jc w:val="center"/>
            </w:pPr>
            <w:r>
              <w:rPr>
                <w:rFonts w:ascii="宋体" w:hAnsi="宋体" w:eastAsia="宋体"/>
                <w:sz w:val="16"/>
              </w:rPr>
              <w:t>=370台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F92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88A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3C8C">
            <w:pPr>
              <w:jc w:val="center"/>
            </w:pPr>
          </w:p>
        </w:tc>
      </w:tr>
      <w:tr w14:paraId="481381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EF6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65F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0B4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1ACB">
            <w:pPr>
              <w:jc w:val="center"/>
            </w:pPr>
            <w:r>
              <w:rPr>
                <w:rFonts w:ascii="宋体" w:hAnsi="宋体" w:eastAsia="宋体"/>
                <w:sz w:val="16"/>
              </w:rPr>
              <w:t>宽带、政务内网（条）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FC81">
            <w:pPr>
              <w:jc w:val="center"/>
            </w:pPr>
            <w:r>
              <w:rPr>
                <w:rFonts w:ascii="宋体" w:hAnsi="宋体" w:eastAsia="宋体"/>
                <w:sz w:val="16"/>
              </w:rPr>
              <w:t>=191条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F5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6C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B77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437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3AD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2D10">
            <w:pPr>
              <w:jc w:val="center"/>
            </w:pPr>
            <w:r>
              <w:rPr>
                <w:rFonts w:ascii="宋体" w:hAnsi="宋体" w:eastAsia="宋体"/>
                <w:sz w:val="16"/>
              </w:rPr>
              <w:t>=191条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6F3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E0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8A55C">
            <w:pPr>
              <w:jc w:val="center"/>
            </w:pPr>
          </w:p>
        </w:tc>
      </w:tr>
      <w:tr w14:paraId="2FE32E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CB5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DEC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A4E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FA6CA">
            <w:pPr>
              <w:jc w:val="center"/>
            </w:pPr>
            <w:r>
              <w:rPr>
                <w:rFonts w:ascii="宋体" w:hAnsi="宋体" w:eastAsia="宋体"/>
                <w:sz w:val="16"/>
              </w:rPr>
              <w:t>网络电视（部）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597F">
            <w:pPr>
              <w:jc w:val="center"/>
            </w:pPr>
            <w:r>
              <w:rPr>
                <w:rFonts w:ascii="宋体" w:hAnsi="宋体" w:eastAsia="宋体"/>
                <w:sz w:val="16"/>
              </w:rPr>
              <w:t>&gt;=38部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19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F9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1A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5A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642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CCBDB">
            <w:pPr>
              <w:jc w:val="center"/>
            </w:pPr>
            <w:r>
              <w:rPr>
                <w:rFonts w:ascii="宋体" w:hAnsi="宋体" w:eastAsia="宋体"/>
                <w:sz w:val="16"/>
              </w:rPr>
              <w:t>&gt;=38部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2D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FB7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C4C7">
            <w:pPr>
              <w:jc w:val="center"/>
            </w:pPr>
          </w:p>
        </w:tc>
      </w:tr>
      <w:tr w14:paraId="0CAE53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6C0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44CF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506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29969">
            <w:pPr>
              <w:jc w:val="center"/>
            </w:pPr>
            <w:r>
              <w:rPr>
                <w:rFonts w:ascii="宋体" w:hAnsi="宋体" w:eastAsia="宋体"/>
                <w:sz w:val="16"/>
              </w:rPr>
              <w:t>故障降低率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A81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43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58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98F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AB4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5E4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D7C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7D2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C4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3E1DB">
            <w:pPr>
              <w:jc w:val="center"/>
            </w:pPr>
          </w:p>
        </w:tc>
      </w:tr>
      <w:tr w14:paraId="52C6B4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01F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984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662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6710">
            <w:pPr>
              <w:jc w:val="center"/>
            </w:pPr>
            <w:r>
              <w:rPr>
                <w:rFonts w:ascii="宋体" w:hAnsi="宋体" w:eastAsia="宋体"/>
                <w:sz w:val="16"/>
              </w:rPr>
              <w:t>网络</w:t>
            </w:r>
            <w:r>
              <w:rPr>
                <w:rFonts w:hint="eastAsia" w:ascii="宋体" w:hAnsi="宋体"/>
                <w:sz w:val="16"/>
                <w:lang w:eastAsia="zh-CN"/>
              </w:rPr>
              <w:t>通畅</w:t>
            </w:r>
            <w:r>
              <w:rPr>
                <w:rFonts w:ascii="宋体" w:hAnsi="宋体" w:eastAsia="宋体"/>
                <w:sz w:val="16"/>
              </w:rPr>
              <w:t>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13CA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EFF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BC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52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3A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B15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279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57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ED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4C15A">
            <w:pPr>
              <w:jc w:val="center"/>
            </w:pPr>
          </w:p>
        </w:tc>
      </w:tr>
      <w:tr w14:paraId="632D3B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098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DA9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E1CD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3A440">
            <w:pPr>
              <w:jc w:val="center"/>
            </w:pPr>
            <w:r>
              <w:rPr>
                <w:rFonts w:ascii="宋体" w:hAnsi="宋体" w:eastAsia="宋体"/>
                <w:sz w:val="16"/>
              </w:rPr>
              <w:t>确保</w:t>
            </w:r>
            <w:r>
              <w:rPr>
                <w:rFonts w:hint="eastAsia" w:ascii="宋体" w:hAnsi="宋体"/>
                <w:sz w:val="16"/>
                <w:lang w:eastAsia="zh-CN"/>
              </w:rPr>
              <w:t>每个</w:t>
            </w:r>
            <w:r>
              <w:rPr>
                <w:rFonts w:ascii="宋体" w:hAnsi="宋体" w:eastAsia="宋体"/>
                <w:sz w:val="16"/>
              </w:rPr>
              <w:t>网络上通下达畅通（每天）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DF0C">
            <w:pPr>
              <w:jc w:val="center"/>
            </w:pPr>
            <w:r>
              <w:rPr>
                <w:rFonts w:ascii="宋体" w:hAnsi="宋体" w:eastAsia="宋体"/>
                <w:sz w:val="16"/>
              </w:rPr>
              <w:t>&gt;=365天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3C1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593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DF7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366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AB5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F63F">
            <w:pPr>
              <w:jc w:val="center"/>
            </w:pPr>
            <w:r>
              <w:rPr>
                <w:rFonts w:ascii="宋体" w:hAnsi="宋体" w:eastAsia="宋体"/>
                <w:sz w:val="16"/>
              </w:rPr>
              <w:t>&gt;=365天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E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3DE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37CF0">
            <w:pPr>
              <w:jc w:val="center"/>
            </w:pPr>
          </w:p>
        </w:tc>
      </w:tr>
      <w:tr w14:paraId="6B52EE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B89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E97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AC9F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F174">
            <w:pPr>
              <w:jc w:val="center"/>
            </w:pPr>
            <w:r>
              <w:rPr>
                <w:rFonts w:ascii="宋体" w:hAnsi="宋体" w:eastAsia="宋体"/>
                <w:sz w:val="16"/>
              </w:rPr>
              <w:t>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89AF">
            <w:pPr>
              <w:jc w:val="center"/>
            </w:pPr>
            <w:r>
              <w:rPr>
                <w:rFonts w:ascii="宋体" w:hAnsi="宋体" w:eastAsia="宋体"/>
                <w:sz w:val="16"/>
              </w:rPr>
              <w:t>&lt;=47.6万元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CF6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9BB37">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1F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09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2B7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885E">
            <w:pPr>
              <w:jc w:val="center"/>
            </w:pPr>
            <w:r>
              <w:rPr>
                <w:rFonts w:ascii="宋体" w:hAnsi="宋体" w:eastAsia="宋体"/>
                <w:sz w:val="16"/>
              </w:rPr>
              <w:t>=35.7万元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8384E">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C9524">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7E9D">
            <w:pPr>
              <w:jc w:val="center"/>
            </w:pPr>
          </w:p>
        </w:tc>
      </w:tr>
      <w:tr w14:paraId="7CC381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3E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DEBF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6B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613D">
            <w:pPr>
              <w:jc w:val="center"/>
            </w:pPr>
            <w:r>
              <w:rPr>
                <w:rFonts w:ascii="宋体" w:hAnsi="宋体" w:eastAsia="宋体"/>
                <w:sz w:val="16"/>
              </w:rPr>
              <w:t>确保固话、互联网、内网、财政专线畅通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23D1A">
            <w:pPr>
              <w:jc w:val="center"/>
            </w:pPr>
            <w:r>
              <w:rPr>
                <w:rFonts w:ascii="宋体" w:hAnsi="宋体" w:eastAsia="宋体"/>
                <w:sz w:val="16"/>
              </w:rPr>
              <w:t>明显畅通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F9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D4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2E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ECE2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783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920F3">
            <w:pPr>
              <w:jc w:val="center"/>
            </w:pPr>
            <w:r>
              <w:rPr>
                <w:rFonts w:ascii="宋体" w:hAnsi="宋体" w:eastAsia="宋体"/>
                <w:sz w:val="16"/>
              </w:rPr>
              <w:t>明显畅通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87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992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0CE4D">
            <w:pPr>
              <w:jc w:val="center"/>
            </w:pPr>
          </w:p>
        </w:tc>
      </w:tr>
      <w:tr w14:paraId="162A59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12A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03E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E1F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0EADB">
            <w:pPr>
              <w:jc w:val="center"/>
            </w:pPr>
            <w:r>
              <w:rPr>
                <w:rFonts w:ascii="宋体" w:hAnsi="宋体" w:eastAsia="宋体"/>
                <w:sz w:val="16"/>
              </w:rPr>
              <w:t>行政事业单位用户满意度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22E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6B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5F4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FC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C8C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67F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B9D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6A7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7C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C8BB">
            <w:pPr>
              <w:jc w:val="center"/>
            </w:pPr>
          </w:p>
        </w:tc>
      </w:tr>
      <w:tr w14:paraId="2C24C5C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ABD0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54C5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D56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7D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8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113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8B36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AFE8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958D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B8E89">
            <w:pPr>
              <w:jc w:val="center"/>
            </w:pPr>
            <w:r>
              <w:rPr>
                <w:rFonts w:ascii="宋体" w:hAnsi="宋体" w:eastAsia="宋体"/>
                <w:sz w:val="16"/>
              </w:rPr>
              <w:t>81.25分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E4AB18"/>
        </w:tc>
      </w:tr>
    </w:tbl>
    <w:p w14:paraId="63C7C1A9">
      <w:r>
        <w:br w:type="page"/>
      </w:r>
    </w:p>
    <w:p w14:paraId="11F86636">
      <w:pPr>
        <w:spacing w:line="640" w:lineRule="exact"/>
        <w:ind w:firstLine="640"/>
        <w:jc w:val="both"/>
        <w:outlineLvl w:val="2"/>
      </w:pPr>
      <w:r>
        <w:rPr>
          <w:rFonts w:ascii="黑体" w:hAnsi="黑体" w:eastAsia="黑体"/>
          <w:sz w:val="32"/>
        </w:rPr>
        <w:t>十二、其他需说明的事项</w:t>
      </w:r>
    </w:p>
    <w:p w14:paraId="4E1F944F">
      <w:pPr>
        <w:spacing w:line="580" w:lineRule="exact"/>
        <w:ind w:firstLine="640"/>
        <w:jc w:val="both"/>
      </w:pPr>
      <w:r>
        <w:rPr>
          <w:rFonts w:ascii="仿宋_GB2312" w:hAnsi="仿宋_GB2312" w:eastAsia="仿宋_GB2312"/>
          <w:b w:val="0"/>
          <w:sz w:val="32"/>
        </w:rPr>
        <w:t>本部门无其他需说明的事项。</w:t>
      </w:r>
    </w:p>
    <w:p w14:paraId="50BDDEDB">
      <w:r>
        <w:br w:type="page"/>
      </w:r>
    </w:p>
    <w:p w14:paraId="709ACE2C">
      <w:pPr>
        <w:spacing w:line="240" w:lineRule="auto"/>
        <w:jc w:val="center"/>
        <w:outlineLvl w:val="1"/>
      </w:pPr>
      <w:r>
        <w:rPr>
          <w:rFonts w:ascii="黑体" w:hAnsi="黑体" w:eastAsia="黑体"/>
          <w:sz w:val="32"/>
        </w:rPr>
        <w:t>第三部分 专业名词解释</w:t>
      </w:r>
    </w:p>
    <w:p w14:paraId="586B4D0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30FE31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F37BC6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C8F80B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ABC2F3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5EB5C1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65EC35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8A29F0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BDAC10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DA2AE1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83FCF2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3E040C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2A6079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983327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81A9403">
      <w:r>
        <w:br w:type="page"/>
      </w:r>
    </w:p>
    <w:p w14:paraId="65D783DC">
      <w:pPr>
        <w:spacing w:line="240" w:lineRule="auto"/>
        <w:jc w:val="center"/>
        <w:outlineLvl w:val="1"/>
      </w:pPr>
      <w:r>
        <w:rPr>
          <w:rFonts w:ascii="黑体" w:hAnsi="黑体" w:eastAsia="黑体"/>
          <w:sz w:val="32"/>
        </w:rPr>
        <w:t>第四部分 部门决算报表（见附表）</w:t>
      </w:r>
    </w:p>
    <w:p w14:paraId="096EE164">
      <w:pPr>
        <w:spacing w:line="240" w:lineRule="auto"/>
        <w:ind w:firstLine="640"/>
        <w:jc w:val="both"/>
      </w:pPr>
      <w:r>
        <w:rPr>
          <w:rFonts w:ascii="仿宋_GB2312" w:hAnsi="仿宋_GB2312" w:eastAsia="仿宋_GB2312"/>
          <w:b w:val="0"/>
          <w:sz w:val="32"/>
        </w:rPr>
        <w:t>一、《收入支出决算总表》</w:t>
      </w:r>
    </w:p>
    <w:p w14:paraId="259891A9">
      <w:pPr>
        <w:spacing w:line="240" w:lineRule="auto"/>
        <w:ind w:firstLine="640"/>
        <w:jc w:val="both"/>
      </w:pPr>
      <w:r>
        <w:rPr>
          <w:rFonts w:ascii="仿宋_GB2312" w:hAnsi="仿宋_GB2312" w:eastAsia="仿宋_GB2312"/>
          <w:b w:val="0"/>
          <w:sz w:val="32"/>
        </w:rPr>
        <w:t>二、《收入决算表》</w:t>
      </w:r>
    </w:p>
    <w:p w14:paraId="3A3AF853">
      <w:pPr>
        <w:spacing w:line="240" w:lineRule="auto"/>
        <w:ind w:firstLine="640"/>
        <w:jc w:val="both"/>
      </w:pPr>
      <w:r>
        <w:rPr>
          <w:rFonts w:ascii="仿宋_GB2312" w:hAnsi="仿宋_GB2312" w:eastAsia="仿宋_GB2312"/>
          <w:b w:val="0"/>
          <w:sz w:val="32"/>
        </w:rPr>
        <w:t>三、《支出决算表》</w:t>
      </w:r>
    </w:p>
    <w:p w14:paraId="5417819C">
      <w:pPr>
        <w:spacing w:line="240" w:lineRule="auto"/>
        <w:ind w:firstLine="640"/>
        <w:jc w:val="both"/>
      </w:pPr>
      <w:r>
        <w:rPr>
          <w:rFonts w:ascii="仿宋_GB2312" w:hAnsi="仿宋_GB2312" w:eastAsia="仿宋_GB2312"/>
          <w:b w:val="0"/>
          <w:sz w:val="32"/>
        </w:rPr>
        <w:t>四、《财政拨款收入支出决算总表》</w:t>
      </w:r>
    </w:p>
    <w:p w14:paraId="4E8C2266">
      <w:pPr>
        <w:spacing w:line="240" w:lineRule="auto"/>
        <w:ind w:firstLine="640"/>
        <w:jc w:val="both"/>
      </w:pPr>
      <w:r>
        <w:rPr>
          <w:rFonts w:ascii="仿宋_GB2312" w:hAnsi="仿宋_GB2312" w:eastAsia="仿宋_GB2312"/>
          <w:b w:val="0"/>
          <w:sz w:val="32"/>
        </w:rPr>
        <w:t>五、《一般公共预算财政拨款支出决算表》</w:t>
      </w:r>
    </w:p>
    <w:p w14:paraId="4FD5E1B7">
      <w:pPr>
        <w:spacing w:line="240" w:lineRule="auto"/>
        <w:ind w:firstLine="640"/>
        <w:jc w:val="both"/>
      </w:pPr>
      <w:r>
        <w:rPr>
          <w:rFonts w:ascii="仿宋_GB2312" w:hAnsi="仿宋_GB2312" w:eastAsia="仿宋_GB2312"/>
          <w:b w:val="0"/>
          <w:sz w:val="32"/>
        </w:rPr>
        <w:t>六、《一般公共预算财政拨款基本支出决算表》</w:t>
      </w:r>
    </w:p>
    <w:p w14:paraId="15E30CBC">
      <w:pPr>
        <w:spacing w:line="240" w:lineRule="auto"/>
        <w:ind w:firstLine="640"/>
        <w:jc w:val="both"/>
      </w:pPr>
      <w:r>
        <w:rPr>
          <w:rFonts w:ascii="仿宋_GB2312" w:hAnsi="仿宋_GB2312" w:eastAsia="仿宋_GB2312"/>
          <w:b w:val="0"/>
          <w:sz w:val="32"/>
        </w:rPr>
        <w:t>七、《政府性基金预算财政拨款收入支出决算表》</w:t>
      </w:r>
    </w:p>
    <w:p w14:paraId="7D7D074D">
      <w:pPr>
        <w:spacing w:line="240" w:lineRule="auto"/>
        <w:ind w:firstLine="640"/>
        <w:jc w:val="both"/>
      </w:pPr>
      <w:r>
        <w:rPr>
          <w:rFonts w:ascii="仿宋_GB2312" w:hAnsi="仿宋_GB2312" w:eastAsia="仿宋_GB2312"/>
          <w:b w:val="0"/>
          <w:sz w:val="32"/>
        </w:rPr>
        <w:t>八、《国有资本经营预算财政拨款收入支出决算表》</w:t>
      </w:r>
    </w:p>
    <w:p w14:paraId="3C4BD8BC">
      <w:pPr>
        <w:spacing w:line="240" w:lineRule="auto"/>
        <w:ind w:firstLine="640"/>
        <w:jc w:val="both"/>
      </w:pPr>
      <w:r>
        <w:rPr>
          <w:rFonts w:ascii="仿宋_GB2312" w:hAnsi="仿宋_GB2312" w:eastAsia="仿宋_GB2312"/>
          <w:b w:val="0"/>
          <w:sz w:val="32"/>
        </w:rPr>
        <w:t>九、《财政拨款“三公”经费支出决算表》</w:t>
      </w:r>
    </w:p>
    <w:p w14:paraId="30006746">
      <w:pPr>
        <w:spacing w:line="240" w:lineRule="auto"/>
        <w:ind w:firstLine="640"/>
        <w:jc w:val="both"/>
      </w:pPr>
    </w:p>
    <w:p w14:paraId="123D61F4">
      <w:pPr>
        <w:spacing w:line="240" w:lineRule="auto"/>
        <w:ind w:firstLine="640"/>
        <w:jc w:val="both"/>
      </w:pPr>
    </w:p>
    <w:p w14:paraId="56305191">
      <w:pPr>
        <w:spacing w:line="240" w:lineRule="auto"/>
        <w:ind w:firstLine="640"/>
        <w:jc w:val="both"/>
      </w:pPr>
    </w:p>
    <w:p w14:paraId="193E3643">
      <w:pPr>
        <w:spacing w:line="240" w:lineRule="auto"/>
        <w:ind w:firstLine="640"/>
        <w:jc w:val="both"/>
      </w:pPr>
    </w:p>
    <w:p w14:paraId="4FF83F6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F20A04-29C1-4173-83F4-C8AB87503C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20F1D98-43F0-471B-9F5D-0816E3E40562}"/>
  </w:font>
  <w:font w:name="仿宋_GB2312">
    <w:panose1 w:val="02010609030101010101"/>
    <w:charset w:val="86"/>
    <w:family w:val="modern"/>
    <w:pitch w:val="default"/>
    <w:sig w:usb0="00000001" w:usb1="080E0000" w:usb2="00000000" w:usb3="00000000" w:csb0="00040000" w:csb1="00000000"/>
    <w:embedRegular r:id="rId3" w:fontKey="{4D6F78E1-8E67-4FF4-96E0-AB877A1C3B73}"/>
  </w:font>
  <w:font w:name="楷体_GB2312">
    <w:panose1 w:val="02010609030101010101"/>
    <w:charset w:val="86"/>
    <w:family w:val="auto"/>
    <w:pitch w:val="default"/>
    <w:sig w:usb0="00000001" w:usb1="080E0000" w:usb2="00000000" w:usb3="00000000" w:csb0="00040000" w:csb1="00000000"/>
    <w:embedRegular r:id="rId4" w:fontKey="{ABF5BD7F-69C4-449C-AEB0-7AB85A90219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5D2445"/>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AAB4727"/>
    <w:rsid w:val="3B1220C9"/>
    <w:rsid w:val="3B576C17"/>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2575</Words>
  <Characters>2931</Characters>
  <Lines>0</Lines>
  <Paragraphs>0</Paragraphs>
  <TotalTime>0</TotalTime>
  <ScaleCrop>false</ScaleCrop>
  <LinksUpToDate>false</LinksUpToDate>
  <CharactersWithSpaces>2939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2025-09-26T10:35:39Z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