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且末县人民政府本级2024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A54C702">
      <w:r>
        <w:br w:type="page"/>
      </w:r>
    </w:p>
    <w:p w14:paraId="36760226">
      <w:pPr>
        <w:spacing w:line="640" w:lineRule="exact"/>
        <w:jc w:val="center"/>
        <w:outlineLvl w:val="1"/>
      </w:pPr>
      <w:r>
        <w:rPr>
          <w:rFonts w:ascii="黑体" w:hAnsi="黑体" w:eastAsia="黑体"/>
          <w:sz w:val="32"/>
        </w:rPr>
        <w:t>第一部分 单位概况</w:t>
      </w:r>
    </w:p>
    <w:p w14:paraId="65249AD1">
      <w:pPr>
        <w:spacing w:line="640" w:lineRule="exact"/>
        <w:ind w:firstLine="640"/>
        <w:jc w:val="both"/>
        <w:outlineLvl w:val="2"/>
      </w:pPr>
      <w:r>
        <w:rPr>
          <w:rFonts w:ascii="黑体" w:hAnsi="黑体" w:eastAsia="黑体"/>
          <w:sz w:val="32"/>
        </w:rPr>
        <w:t>一、主要职能</w:t>
      </w:r>
    </w:p>
    <w:p w14:paraId="6373A9D1">
      <w:pPr>
        <w:spacing w:line="580" w:lineRule="exact"/>
        <w:ind w:firstLine="640"/>
        <w:jc w:val="both"/>
      </w:pPr>
      <w:r>
        <w:rPr>
          <w:rFonts w:ascii="仿宋_GB2312" w:hAnsi="仿宋_GB2312" w:eastAsia="仿宋_GB2312"/>
          <w:sz w:val="32"/>
        </w:rPr>
        <w:t>1.负责县人民政府会议的准备工作，协助且末县人民政府领导同志组织会议决定事项的实施。</w:t>
      </w:r>
    </w:p>
    <w:p w14:paraId="2B3F96ED">
      <w:pPr>
        <w:spacing w:line="580" w:lineRule="exact"/>
        <w:ind w:firstLine="640"/>
        <w:jc w:val="both"/>
      </w:pPr>
      <w:r>
        <w:rPr>
          <w:rFonts w:ascii="仿宋_GB2312" w:hAnsi="仿宋_GB2312" w:eastAsia="仿宋_GB2312"/>
          <w:sz w:val="32"/>
        </w:rPr>
        <w:t>2.协助县人民政府领导同志组织起草或审核以且末县人民政府、且末县人民政府办公室名义发布的公文。</w:t>
      </w:r>
    </w:p>
    <w:p w14:paraId="3600DEEF">
      <w:pPr>
        <w:spacing w:line="580" w:lineRule="exact"/>
        <w:ind w:firstLine="640"/>
        <w:jc w:val="both"/>
      </w:pPr>
      <w:r>
        <w:rPr>
          <w:rFonts w:ascii="仿宋_GB2312" w:hAnsi="仿宋_GB2312" w:eastAsia="仿宋_GB2312"/>
          <w:sz w:val="32"/>
        </w:rPr>
        <w:t>3.研究县人民政府各部门和各乡镇请示且末县人民政府的事项，提出审核意见，报且末县人民政府领导同志审定。</w:t>
      </w:r>
    </w:p>
    <w:p w14:paraId="39CAFB38">
      <w:pPr>
        <w:spacing w:line="580" w:lineRule="exact"/>
        <w:ind w:firstLine="640"/>
        <w:jc w:val="both"/>
      </w:pPr>
      <w:r>
        <w:rPr>
          <w:rFonts w:ascii="仿宋_GB2312" w:hAnsi="仿宋_GB2312" w:eastAsia="仿宋_GB2312"/>
          <w:sz w:val="32"/>
        </w:rPr>
        <w:t>4.督促检查且末县人民政府公文、会议决定事项及且末县人民政府领导同志指示的贯彻落实情况并跟踪调研，及时向且末县人民政府领导同志报告，负责且末县人大代表建议意见和政协委员提案的督办工作。</w:t>
      </w:r>
    </w:p>
    <w:p w14:paraId="4522E3FF">
      <w:pPr>
        <w:spacing w:line="580" w:lineRule="exact"/>
        <w:ind w:firstLine="640"/>
        <w:jc w:val="both"/>
      </w:pPr>
      <w:r>
        <w:rPr>
          <w:rFonts w:ascii="仿宋_GB2312" w:hAnsi="仿宋_GB2312" w:eastAsia="仿宋_GB2312"/>
          <w:sz w:val="32"/>
        </w:rPr>
        <w:t>5.负责且末县人民政府办公室值班工作，及时向且末县人民政府领导同志报告重要情况，协调处理且末县人民政府各部门和各乡镇向且末县人民政府反映的重要问题，传达和督促落实县人民政府领导同志的指示。</w:t>
      </w:r>
    </w:p>
    <w:p w14:paraId="5FCB6C90">
      <w:pPr>
        <w:spacing w:line="580" w:lineRule="exact"/>
        <w:ind w:firstLine="640"/>
        <w:jc w:val="both"/>
      </w:pPr>
      <w:r>
        <w:rPr>
          <w:rFonts w:ascii="仿宋_GB2312" w:hAnsi="仿宋_GB2312" w:eastAsia="仿宋_GB2312"/>
          <w:sz w:val="32"/>
        </w:rPr>
        <w:t>6.负责指导、协调、推进且末县“放管服”改革、政务公开及政府系统电子政务工作。</w:t>
      </w:r>
    </w:p>
    <w:p w14:paraId="3F589DB8">
      <w:pPr>
        <w:spacing w:line="580" w:lineRule="exact"/>
        <w:ind w:firstLine="640"/>
        <w:jc w:val="both"/>
      </w:pPr>
      <w:r>
        <w:rPr>
          <w:rFonts w:ascii="仿宋_GB2312" w:hAnsi="仿宋_GB2312" w:eastAsia="仿宋_GB2312"/>
          <w:sz w:val="32"/>
        </w:rPr>
        <w:t>7.贯彻执行国家和自治区、自治州扶贫开发工作方针政策，研究制定且末县扶贫开发战略规划、政策措施并组织实施，会同有关部门统筹编制扶贫开发项目计划，制定扶贫开发专项资金、物资分配方案并做好监督检查，组织实施产业化扶贫计划和扶贫培训等工作。</w:t>
      </w:r>
    </w:p>
    <w:p w14:paraId="77B8A4DE">
      <w:pPr>
        <w:spacing w:line="580" w:lineRule="exact"/>
        <w:ind w:firstLine="640"/>
        <w:jc w:val="both"/>
      </w:pPr>
      <w:r>
        <w:rPr>
          <w:rFonts w:ascii="仿宋_GB2312" w:hAnsi="仿宋_GB2312" w:eastAsia="仿宋_GB2312"/>
          <w:sz w:val="32"/>
        </w:rPr>
        <w:t>8.贯彻执行国家、自治区、自治州水库移民工作方针、政策和法律法规，负责全县水库移民管理工作，负责水库移民统计、业务培训、信息管理和扶持政策落实，组织重点工程移民安置规划的编制，受理、调解水库移民安置纠纷，处理水库移民安置工作中的突发事件。</w:t>
      </w:r>
    </w:p>
    <w:p w14:paraId="3329D730">
      <w:pPr>
        <w:spacing w:line="580" w:lineRule="exact"/>
        <w:ind w:firstLine="640"/>
        <w:jc w:val="both"/>
      </w:pPr>
      <w:r>
        <w:rPr>
          <w:rFonts w:ascii="仿宋_GB2312" w:hAnsi="仿宋_GB2312" w:eastAsia="仿宋_GB2312"/>
          <w:sz w:val="32"/>
        </w:rPr>
        <w:t>9.承担本部门党的建设、党风廉政和反腐败、精神文明、维护稳定、综合治理、民族团结、“两个全覆盖”、安全生产、扶贫等工作。</w:t>
      </w:r>
    </w:p>
    <w:p w14:paraId="48CF0194">
      <w:pPr>
        <w:spacing w:line="580" w:lineRule="exact"/>
        <w:ind w:firstLine="640"/>
        <w:jc w:val="both"/>
      </w:pPr>
      <w:r>
        <w:rPr>
          <w:rFonts w:ascii="仿宋_GB2312" w:hAnsi="仿宋_GB2312" w:eastAsia="仿宋_GB2312"/>
          <w:sz w:val="32"/>
        </w:rPr>
        <w:t>10.完成且末县党委、且末县人民政府交办的其他任务。</w:t>
      </w:r>
    </w:p>
    <w:p w14:paraId="0EC8A983">
      <w:pPr>
        <w:spacing w:line="640" w:lineRule="exact"/>
        <w:ind w:firstLine="640"/>
        <w:jc w:val="both"/>
        <w:outlineLvl w:val="2"/>
      </w:pPr>
      <w:r>
        <w:rPr>
          <w:rFonts w:ascii="黑体" w:hAnsi="黑体" w:eastAsia="黑体"/>
          <w:sz w:val="32"/>
        </w:rPr>
        <w:t>二、机构设置及人员情况</w:t>
      </w:r>
    </w:p>
    <w:p w14:paraId="5B5DD94E">
      <w:pPr>
        <w:spacing w:line="580" w:lineRule="exact"/>
        <w:ind w:firstLine="640"/>
        <w:jc w:val="both"/>
      </w:pPr>
      <w:r>
        <w:rPr>
          <w:rFonts w:ascii="仿宋_GB2312" w:hAnsi="仿宋_GB2312" w:eastAsia="仿宋_GB2312"/>
          <w:sz w:val="32"/>
        </w:rPr>
        <w:t>且末县人民政府本级2024年度，实有人数36人，其中：在职人员16人，减少1人；离休人员0人，增加0人；退休人员20人,增加2人。</w:t>
      </w:r>
    </w:p>
    <w:p w14:paraId="187B73C3">
      <w:pPr>
        <w:spacing w:line="580" w:lineRule="exact"/>
        <w:ind w:firstLine="640"/>
        <w:jc w:val="both"/>
      </w:pPr>
      <w:r>
        <w:rPr>
          <w:rFonts w:ascii="仿宋_GB2312" w:hAnsi="仿宋_GB2312" w:eastAsia="仿宋_GB2312"/>
          <w:sz w:val="32"/>
        </w:rPr>
        <w:t>且末县人民政府本级无下属预算单位，下设3个科室，分别是：综合科一、综合科二、综合科三。</w:t>
      </w:r>
    </w:p>
    <w:p w14:paraId="5F2CBD3D">
      <w:r>
        <w:br w:type="page"/>
      </w:r>
    </w:p>
    <w:p w14:paraId="00F9EAAE">
      <w:pPr>
        <w:spacing w:line="240" w:lineRule="auto"/>
        <w:jc w:val="center"/>
        <w:outlineLvl w:val="1"/>
      </w:pPr>
      <w:r>
        <w:rPr>
          <w:rFonts w:ascii="黑体" w:hAnsi="黑体" w:eastAsia="黑体"/>
          <w:sz w:val="32"/>
        </w:rPr>
        <w:t>第二部分 部门决算情况说明</w:t>
      </w:r>
    </w:p>
    <w:p w14:paraId="0D172E8C">
      <w:pPr>
        <w:spacing w:line="640" w:lineRule="exact"/>
        <w:ind w:firstLine="640"/>
        <w:jc w:val="both"/>
        <w:outlineLvl w:val="2"/>
      </w:pPr>
      <w:r>
        <w:rPr>
          <w:rFonts w:ascii="黑体" w:hAnsi="黑体" w:eastAsia="黑体"/>
          <w:sz w:val="32"/>
        </w:rPr>
        <w:t>一、收入支出决算总体情况说明</w:t>
      </w:r>
    </w:p>
    <w:p w14:paraId="07DA4A2F">
      <w:pPr>
        <w:spacing w:line="580" w:lineRule="exact"/>
        <w:ind w:firstLine="640"/>
        <w:jc w:val="both"/>
      </w:pPr>
      <w:r>
        <w:rPr>
          <w:rFonts w:ascii="仿宋_GB2312" w:hAnsi="仿宋_GB2312" w:eastAsia="仿宋_GB2312"/>
          <w:b/>
          <w:sz w:val="32"/>
        </w:rPr>
        <w:t>2024年度收入总计507.93万元，</w:t>
      </w:r>
      <w:r>
        <w:rPr>
          <w:rFonts w:ascii="仿宋_GB2312" w:hAnsi="仿宋_GB2312" w:eastAsia="仿宋_GB2312"/>
          <w:b w:val="0"/>
          <w:sz w:val="32"/>
        </w:rPr>
        <w:t>其中：本年收入合计507.93万元，使用非财政拨款结余（含专用结余）0.00万元，年初结转和结余0.00万元。</w:t>
      </w:r>
    </w:p>
    <w:p w14:paraId="160E24B7">
      <w:pPr>
        <w:spacing w:line="580" w:lineRule="exact"/>
        <w:ind w:firstLine="640"/>
        <w:jc w:val="both"/>
      </w:pPr>
      <w:r>
        <w:rPr>
          <w:rFonts w:ascii="仿宋_GB2312" w:hAnsi="仿宋_GB2312" w:eastAsia="仿宋_GB2312"/>
          <w:b/>
          <w:sz w:val="32"/>
        </w:rPr>
        <w:t>2024年度支出总计507.93万元，</w:t>
      </w:r>
      <w:r>
        <w:rPr>
          <w:rFonts w:ascii="仿宋_GB2312" w:hAnsi="仿宋_GB2312" w:eastAsia="仿宋_GB2312"/>
          <w:b w:val="0"/>
          <w:sz w:val="32"/>
        </w:rPr>
        <w:t>其中：本年支出合计507.93万元，结余分配0.00万元，年末结转和结余0.00万元。</w:t>
      </w:r>
    </w:p>
    <w:p w14:paraId="104DA982">
      <w:pPr>
        <w:spacing w:line="580" w:lineRule="exact"/>
        <w:ind w:firstLine="640"/>
        <w:jc w:val="both"/>
      </w:pPr>
      <w:r>
        <w:rPr>
          <w:rFonts w:ascii="仿宋_GB2312" w:hAnsi="仿宋_GB2312" w:eastAsia="仿宋_GB2312"/>
          <w:b w:val="0"/>
          <w:sz w:val="32"/>
        </w:rPr>
        <w:t>收入支出总体与上年相比，增加29.48万元，增长6.16%，主要原因是：本年在职人员工资调增，社保、公积金基数调增，人员经费增加；本年新增退休人员，职业年金缴费支出增加。</w:t>
      </w:r>
    </w:p>
    <w:p w14:paraId="2280AC75">
      <w:pPr>
        <w:spacing w:line="640" w:lineRule="exact"/>
        <w:ind w:firstLine="640"/>
        <w:jc w:val="both"/>
        <w:outlineLvl w:val="2"/>
      </w:pPr>
      <w:r>
        <w:rPr>
          <w:rFonts w:ascii="黑体" w:hAnsi="黑体" w:eastAsia="黑体"/>
          <w:sz w:val="32"/>
        </w:rPr>
        <w:t>二、收入决算情况说明</w:t>
      </w:r>
    </w:p>
    <w:p w14:paraId="0260C97A">
      <w:pPr>
        <w:spacing w:line="580" w:lineRule="exact"/>
        <w:ind w:firstLine="640"/>
        <w:jc w:val="both"/>
      </w:pPr>
      <w:r>
        <w:rPr>
          <w:rFonts w:ascii="仿宋_GB2312" w:hAnsi="仿宋_GB2312" w:eastAsia="仿宋_GB2312"/>
          <w:b/>
          <w:sz w:val="32"/>
        </w:rPr>
        <w:t>本年收入507.93万元，</w:t>
      </w:r>
      <w:r>
        <w:rPr>
          <w:rFonts w:ascii="仿宋_GB2312" w:hAnsi="仿宋_GB2312" w:eastAsia="仿宋_GB2312"/>
          <w:b w:val="0"/>
          <w:sz w:val="32"/>
        </w:rPr>
        <w:t>其中：财政拨款收入507.93万元，占100.00%；上级补助收入0.00万元，占0.00%；事业收入0.00万元，占0.00%；经营收入0.00万元，占0.00%；附属单位上缴收入0.00万元，占0.00%；其他收入0.00万元，占0.00%。</w:t>
      </w:r>
    </w:p>
    <w:p w14:paraId="00D17484">
      <w:pPr>
        <w:spacing w:line="640" w:lineRule="exact"/>
        <w:ind w:firstLine="640"/>
        <w:jc w:val="both"/>
        <w:outlineLvl w:val="2"/>
      </w:pPr>
      <w:r>
        <w:rPr>
          <w:rFonts w:ascii="黑体" w:hAnsi="黑体" w:eastAsia="黑体"/>
          <w:sz w:val="32"/>
        </w:rPr>
        <w:t>三、支出决算情况说明</w:t>
      </w:r>
    </w:p>
    <w:p w14:paraId="1EA49F4F">
      <w:pPr>
        <w:spacing w:line="580" w:lineRule="exact"/>
        <w:ind w:firstLine="640"/>
        <w:jc w:val="both"/>
      </w:pPr>
      <w:r>
        <w:rPr>
          <w:rFonts w:ascii="仿宋_GB2312" w:hAnsi="仿宋_GB2312" w:eastAsia="仿宋_GB2312"/>
          <w:b/>
          <w:sz w:val="32"/>
        </w:rPr>
        <w:t>本年支出507.93万元，</w:t>
      </w:r>
      <w:r>
        <w:rPr>
          <w:rFonts w:ascii="仿宋_GB2312" w:hAnsi="仿宋_GB2312" w:eastAsia="仿宋_GB2312"/>
          <w:b w:val="0"/>
          <w:sz w:val="32"/>
        </w:rPr>
        <w:t>其中：基本支出505.49万元，占99.52%；项目支出2.44万元，占0.48%；上缴上级支出0.00万元，占0.00%；经营支出0.00万元，占0.00%；对附属单位补助支出0.00万元，占0.00%。</w:t>
      </w:r>
    </w:p>
    <w:p w14:paraId="6883E6BA">
      <w:pPr>
        <w:spacing w:line="640" w:lineRule="exact"/>
        <w:ind w:firstLine="640"/>
        <w:jc w:val="both"/>
        <w:outlineLvl w:val="2"/>
      </w:pPr>
      <w:r>
        <w:rPr>
          <w:rFonts w:ascii="黑体" w:hAnsi="黑体" w:eastAsia="黑体"/>
          <w:sz w:val="32"/>
        </w:rPr>
        <w:t>四、财政拨款收入支出决算总体情况说明</w:t>
      </w:r>
    </w:p>
    <w:p w14:paraId="11CB4545">
      <w:pPr>
        <w:spacing w:line="580" w:lineRule="exact"/>
        <w:ind w:firstLine="640"/>
        <w:jc w:val="both"/>
      </w:pPr>
      <w:r>
        <w:rPr>
          <w:rFonts w:ascii="仿宋_GB2312" w:hAnsi="仿宋_GB2312" w:eastAsia="仿宋_GB2312"/>
          <w:b/>
          <w:sz w:val="32"/>
        </w:rPr>
        <w:t>2024年度财政拨款收入总计507.93万元，</w:t>
      </w:r>
      <w:r>
        <w:rPr>
          <w:rFonts w:ascii="仿宋_GB2312" w:hAnsi="仿宋_GB2312" w:eastAsia="仿宋_GB2312"/>
          <w:b w:val="0"/>
          <w:sz w:val="32"/>
        </w:rPr>
        <w:t>其中：年初财政拨款结转和结余0.00万元，本年财政拨款收入507.93万元。</w:t>
      </w:r>
      <w:r>
        <w:rPr>
          <w:rFonts w:ascii="仿宋_GB2312" w:hAnsi="仿宋_GB2312" w:eastAsia="仿宋_GB2312"/>
          <w:b/>
          <w:sz w:val="32"/>
        </w:rPr>
        <w:t>财政拨款支出总计507.93万元，</w:t>
      </w:r>
      <w:r>
        <w:rPr>
          <w:rFonts w:ascii="仿宋_GB2312" w:hAnsi="仿宋_GB2312" w:eastAsia="仿宋_GB2312"/>
          <w:b w:val="0"/>
          <w:sz w:val="32"/>
        </w:rPr>
        <w:t>其中：年末财政拨款结转和结余0.00万元，本年财政拨款支出507.93万元。</w:t>
      </w:r>
    </w:p>
    <w:p w14:paraId="1907E76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增加29.48万元，增长6.16%，主要原因是：本年在职人员工资调增，社保、公积金基数调增，人员经费增加；本年新增退休人员，职业年金缴费支出增加。</w:t>
      </w:r>
      <w:r>
        <w:rPr>
          <w:rFonts w:ascii="仿宋_GB2312" w:hAnsi="仿宋_GB2312" w:eastAsia="仿宋_GB2312"/>
          <w:b/>
          <w:sz w:val="32"/>
        </w:rPr>
        <w:t>与年初预算相比，</w:t>
      </w:r>
      <w:r>
        <w:rPr>
          <w:rFonts w:ascii="仿宋_GB2312" w:hAnsi="仿宋_GB2312" w:eastAsia="仿宋_GB2312"/>
          <w:b w:val="0"/>
          <w:sz w:val="32"/>
        </w:rPr>
        <w:t>年初预算数408.60万元，决算数507.93万元，预决算差异率24.31%，主要原因是：年中追加人员工资、社保、公积金基数调增部分资金</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追加职业年金支出，</w:t>
      </w:r>
      <w:r>
        <w:rPr>
          <w:rFonts w:ascii="仿宋_GB2312" w:hAnsi="仿宋_GB2312" w:eastAsia="仿宋_GB2312"/>
          <w:b w:val="0"/>
          <w:sz w:val="32"/>
        </w:rPr>
        <w:t>导致预决算存在差异。</w:t>
      </w:r>
    </w:p>
    <w:p w14:paraId="30248E98">
      <w:pPr>
        <w:spacing w:line="640" w:lineRule="exact"/>
        <w:ind w:firstLine="640"/>
        <w:jc w:val="both"/>
        <w:outlineLvl w:val="2"/>
      </w:pPr>
      <w:r>
        <w:rPr>
          <w:rFonts w:ascii="黑体" w:hAnsi="黑体" w:eastAsia="黑体"/>
          <w:sz w:val="32"/>
        </w:rPr>
        <w:t>五、一般公共预算财政拨款支出决算情况说明</w:t>
      </w:r>
    </w:p>
    <w:p w14:paraId="02A559C7">
      <w:pPr>
        <w:spacing w:line="640" w:lineRule="exact"/>
        <w:ind w:firstLine="640"/>
        <w:jc w:val="both"/>
        <w:outlineLvl w:val="3"/>
      </w:pPr>
      <w:r>
        <w:rPr>
          <w:rFonts w:ascii="楷体_GB2312" w:hAnsi="楷体_GB2312" w:eastAsia="楷体_GB2312"/>
          <w:b/>
          <w:sz w:val="32"/>
        </w:rPr>
        <w:t>（一）一般公共预算财政拨款支出决算总体情况</w:t>
      </w:r>
    </w:p>
    <w:p w14:paraId="5B4AFB57">
      <w:pPr>
        <w:spacing w:line="580" w:lineRule="exact"/>
        <w:ind w:firstLine="640"/>
        <w:jc w:val="both"/>
      </w:pPr>
      <w:r>
        <w:rPr>
          <w:rFonts w:ascii="仿宋_GB2312" w:hAnsi="仿宋_GB2312" w:eastAsia="仿宋_GB2312"/>
          <w:b/>
          <w:sz w:val="32"/>
        </w:rPr>
        <w:t>2024年度一般公共预算财政拨款支出507.93万元，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增加29.48万元，增长6.16%，主要原因是：本年在职人员工资调增，社保、公积金基数调增，人员经费增加；本年新增退休人员，职业年金缴费支出增加。</w:t>
      </w:r>
      <w:r>
        <w:rPr>
          <w:rFonts w:ascii="仿宋_GB2312" w:hAnsi="仿宋_GB2312" w:eastAsia="仿宋_GB2312"/>
          <w:b/>
          <w:sz w:val="32"/>
        </w:rPr>
        <w:t>与年初预算相比,</w:t>
      </w:r>
      <w:r>
        <w:rPr>
          <w:rFonts w:ascii="仿宋_GB2312" w:hAnsi="仿宋_GB2312" w:eastAsia="仿宋_GB2312"/>
          <w:b w:val="0"/>
          <w:sz w:val="32"/>
        </w:rPr>
        <w:t>年初预算数408.60万元，决算数507.93万元，预决算差异率24.31%，主要原因是：年中追加人员工资、社保、公积金基数调增部分资金</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追加职业年金支出，</w:t>
      </w:r>
      <w:r>
        <w:rPr>
          <w:rFonts w:ascii="仿宋_GB2312" w:hAnsi="仿宋_GB2312" w:eastAsia="仿宋_GB2312"/>
          <w:b w:val="0"/>
          <w:sz w:val="32"/>
        </w:rPr>
        <w:t>导致预决算存在差异。</w:t>
      </w:r>
    </w:p>
    <w:p w14:paraId="0DC162DA">
      <w:pPr>
        <w:spacing w:line="640" w:lineRule="exact"/>
        <w:ind w:firstLine="640"/>
        <w:jc w:val="both"/>
        <w:outlineLvl w:val="3"/>
      </w:pPr>
      <w:r>
        <w:rPr>
          <w:rFonts w:ascii="楷体_GB2312" w:hAnsi="楷体_GB2312" w:eastAsia="楷体_GB2312"/>
          <w:b/>
          <w:sz w:val="32"/>
        </w:rPr>
        <w:t>（二）一般公共预算财政拨款支出决算结构情况</w:t>
      </w:r>
    </w:p>
    <w:p w14:paraId="0AA957FE">
      <w:pPr>
        <w:spacing w:line="580" w:lineRule="exact"/>
        <w:ind w:firstLine="640"/>
        <w:jc w:val="both"/>
      </w:pPr>
      <w:r>
        <w:rPr>
          <w:rFonts w:ascii="仿宋_GB2312" w:hAnsi="仿宋_GB2312" w:eastAsia="仿宋_GB2312"/>
          <w:b w:val="0"/>
          <w:sz w:val="32"/>
        </w:rPr>
        <w:t>1.一般公共服务支出(类)387.29万元,占76.25%。</w:t>
      </w:r>
    </w:p>
    <w:p w14:paraId="7D908756">
      <w:pPr>
        <w:spacing w:line="580" w:lineRule="exact"/>
        <w:ind w:firstLine="640"/>
        <w:jc w:val="both"/>
      </w:pPr>
      <w:r>
        <w:rPr>
          <w:rFonts w:ascii="仿宋_GB2312" w:hAnsi="仿宋_GB2312" w:eastAsia="仿宋_GB2312"/>
          <w:b w:val="0"/>
          <w:sz w:val="32"/>
        </w:rPr>
        <w:t>2.社会保障和就业支出(类)72.00万元,占14.18%。</w:t>
      </w:r>
    </w:p>
    <w:p w14:paraId="6BDFA113">
      <w:pPr>
        <w:spacing w:line="580" w:lineRule="exact"/>
        <w:ind w:firstLine="640"/>
        <w:jc w:val="both"/>
      </w:pPr>
      <w:r>
        <w:rPr>
          <w:rFonts w:ascii="仿宋_GB2312" w:hAnsi="仿宋_GB2312" w:eastAsia="仿宋_GB2312"/>
          <w:b w:val="0"/>
          <w:sz w:val="32"/>
        </w:rPr>
        <w:t>3.卫生健康支出(类)19.39万元,占3.82%。</w:t>
      </w:r>
    </w:p>
    <w:p w14:paraId="01BFC97F">
      <w:pPr>
        <w:spacing w:line="580" w:lineRule="exact"/>
        <w:ind w:firstLine="640"/>
        <w:jc w:val="both"/>
      </w:pPr>
      <w:r>
        <w:rPr>
          <w:rFonts w:ascii="仿宋_GB2312" w:hAnsi="仿宋_GB2312" w:eastAsia="仿宋_GB2312"/>
          <w:b w:val="0"/>
          <w:sz w:val="32"/>
        </w:rPr>
        <w:t>4.住房保障支出(类)26.81万元,占5.28%。</w:t>
      </w:r>
    </w:p>
    <w:p w14:paraId="46677B07">
      <w:pPr>
        <w:spacing w:line="580" w:lineRule="exact"/>
        <w:ind w:firstLine="640"/>
        <w:jc w:val="both"/>
      </w:pPr>
      <w:r>
        <w:rPr>
          <w:rFonts w:ascii="仿宋_GB2312" w:hAnsi="仿宋_GB2312" w:eastAsia="仿宋_GB2312"/>
          <w:b w:val="0"/>
          <w:sz w:val="32"/>
        </w:rPr>
        <w:t>5.其他支出(类)2.44万元,占0.48%。</w:t>
      </w:r>
    </w:p>
    <w:p w14:paraId="770F8B67">
      <w:pPr>
        <w:spacing w:line="640" w:lineRule="exact"/>
        <w:ind w:firstLine="640"/>
        <w:jc w:val="both"/>
        <w:outlineLvl w:val="3"/>
      </w:pPr>
      <w:r>
        <w:rPr>
          <w:rFonts w:ascii="楷体_GB2312" w:hAnsi="楷体_GB2312" w:eastAsia="楷体_GB2312"/>
          <w:b/>
          <w:sz w:val="32"/>
        </w:rPr>
        <w:t>（三）一般公共预算财政拨款支出决算具体情况</w:t>
      </w:r>
    </w:p>
    <w:p w14:paraId="5FC96CEC">
      <w:pPr>
        <w:spacing w:line="580" w:lineRule="exact"/>
        <w:ind w:firstLine="640"/>
        <w:jc w:val="both"/>
      </w:pPr>
      <w:r>
        <w:rPr>
          <w:rFonts w:ascii="仿宋_GB2312" w:hAnsi="仿宋_GB2312" w:eastAsia="仿宋_GB2312"/>
          <w:b w:val="0"/>
          <w:sz w:val="32"/>
        </w:rPr>
        <w:t>1.一般公共服务支出(类)政府办公厅（室）及相关机构事务(款)行政运行(项):支出决算数为254.68万元，比上年决算减少127.50万元，下降33.36%,主要原因是：本年功能科目调整，会议场地经费上年度在此科目列支，本年调整至政府办公厅（室）及相关机构事务(款)其他政府办公厅（室）及相关机构事务支出(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经费较上年减少</w:t>
      </w:r>
      <w:r>
        <w:rPr>
          <w:rFonts w:ascii="仿宋_GB2312" w:hAnsi="仿宋_GB2312" w:eastAsia="仿宋_GB2312"/>
          <w:b w:val="0"/>
          <w:sz w:val="32"/>
        </w:rPr>
        <w:t>。</w:t>
      </w:r>
    </w:p>
    <w:p w14:paraId="720AC82B">
      <w:pPr>
        <w:spacing w:line="580" w:lineRule="exact"/>
        <w:ind w:firstLine="640"/>
        <w:jc w:val="both"/>
      </w:pPr>
      <w:r>
        <w:rPr>
          <w:rFonts w:ascii="仿宋_GB2312" w:hAnsi="仿宋_GB2312" w:eastAsia="仿宋_GB2312"/>
          <w:b w:val="0"/>
          <w:sz w:val="32"/>
        </w:rPr>
        <w:t>2.一般公共服务支出(类)政府办公厅（室）及相关机构事务(款)其他政府办公厅（室）及相关机构事务支出(项):支出决算数为132.61万元，比上年决算增加122.98万元，增长1,277.05%,主要原因是：本年功能科目调整，会议场地经费上年度在政府办公厅（室）及相关机构事务(款)行政运行(项)列支，本年调整至</w:t>
      </w:r>
      <w:r>
        <w:rPr>
          <w:rFonts w:hint="eastAsia" w:ascii="仿宋_GB2312" w:hAnsi="仿宋_GB2312" w:eastAsia="仿宋_GB2312"/>
          <w:b w:val="0"/>
          <w:sz w:val="32"/>
          <w:lang w:val="en-US" w:eastAsia="zh-CN"/>
        </w:rPr>
        <w:t>此科目列支</w:t>
      </w:r>
      <w:bookmarkStart w:id="0" w:name="_GoBack"/>
      <w:bookmarkEnd w:id="0"/>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经费较上年增加</w:t>
      </w:r>
      <w:r>
        <w:rPr>
          <w:rFonts w:ascii="仿宋_GB2312" w:hAnsi="仿宋_GB2312" w:eastAsia="仿宋_GB2312"/>
          <w:b w:val="0"/>
          <w:sz w:val="32"/>
        </w:rPr>
        <w:t>。</w:t>
      </w:r>
    </w:p>
    <w:p w14:paraId="66009094">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3.社会保障和就业支出(类)行政事业单位养老支出(款)行政单位离退休(项):支出决算数为14.13万元，比上年决算增加6.91万元，增长95.71%,主要原因是：本年增加退休人员基础绩效奖，退休费支出增加。</w:t>
      </w:r>
    </w:p>
    <w:p w14:paraId="5F54C0FF">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33.83万元，比上年决算增加2.47万元，增长7.88%,主要原因是：本年在职人员工资基数调增，养老缴费基数上涨，相应支出增加。</w:t>
      </w:r>
    </w:p>
    <w:p w14:paraId="790CCEE3">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5.社会保障和就业支出(类)行政事业单位养老支出(款)机关事业单位职业年金缴费支出(项):支出决算数为24.04万元，比上年决算增加24.04万元，增长100.00%,主要原因是：本年新增退休人员，职业年金缴费支出增加。</w:t>
      </w:r>
    </w:p>
    <w:p w14:paraId="10390CE0">
      <w:pPr>
        <w:spacing w:line="580" w:lineRule="exact"/>
        <w:ind w:firstLine="640"/>
        <w:jc w:val="both"/>
      </w:pPr>
      <w:r>
        <w:rPr>
          <w:rFonts w:ascii="仿宋_GB2312" w:hAnsi="仿宋_GB2312" w:eastAsia="仿宋_GB2312"/>
          <w:b w:val="0"/>
          <w:sz w:val="32"/>
        </w:rPr>
        <w:t>6.卫生健康支出(类)行政事业单位医疗(款)行政单位医疗(项):支出决算数为15.45万元，比上年决算增加0.67万元，增长4.53%,主要原因是：本年在职人员工资基数调增，医疗缴费基数上涨，相应支出增加。</w:t>
      </w:r>
    </w:p>
    <w:p w14:paraId="71BBEB29">
      <w:pPr>
        <w:spacing w:line="580" w:lineRule="exact"/>
        <w:ind w:firstLine="640"/>
        <w:jc w:val="both"/>
      </w:pPr>
      <w:r>
        <w:rPr>
          <w:rFonts w:ascii="仿宋_GB2312" w:hAnsi="仿宋_GB2312" w:eastAsia="仿宋_GB2312"/>
          <w:b w:val="0"/>
          <w:sz w:val="32"/>
        </w:rPr>
        <w:t>7.卫生健康支出(类)行政事业单位医疗(款)公务员医疗补助(项):支出决算数为3.94万元，比上年决算增加0.25万元，增长6.78%,主要原因是：本年在职人员工资基数调增，公务员医疗补助上涨，相应支出增加。</w:t>
      </w:r>
    </w:p>
    <w:p w14:paraId="3B3DA9F7">
      <w:pPr>
        <w:spacing w:line="580" w:lineRule="exact"/>
        <w:ind w:firstLine="640"/>
        <w:jc w:val="both"/>
      </w:pPr>
      <w:r>
        <w:rPr>
          <w:rFonts w:ascii="仿宋_GB2312" w:hAnsi="仿宋_GB2312" w:eastAsia="仿宋_GB2312"/>
          <w:b w:val="0"/>
          <w:sz w:val="32"/>
        </w:rPr>
        <w:t>8.农林水支出(类)巩固脱贫攻坚成果衔接乡村振兴(款)其他巩固脱贫攻坚成果衔接乡村振兴支出(项):支出决算数为0.00万元，比上年决算减少4.36万元，下降100.00%,主要原因是：本年</w:t>
      </w:r>
      <w:r>
        <w:rPr>
          <w:rFonts w:hint="eastAsia" w:ascii="仿宋_GB2312" w:hAnsi="仿宋_GB2312" w:eastAsia="仿宋_GB2312"/>
          <w:b w:val="0"/>
          <w:sz w:val="32"/>
          <w:lang w:val="en-US" w:eastAsia="zh-CN"/>
        </w:rPr>
        <w:t>未安排</w:t>
      </w:r>
      <w:r>
        <w:rPr>
          <w:rFonts w:ascii="仿宋_GB2312" w:hAnsi="仿宋_GB2312" w:eastAsia="仿宋_GB2312"/>
          <w:b w:val="0"/>
          <w:sz w:val="32"/>
        </w:rPr>
        <w:t>扶贫帮扶经费。</w:t>
      </w:r>
    </w:p>
    <w:p w14:paraId="1FB594EC">
      <w:pPr>
        <w:spacing w:line="580" w:lineRule="exact"/>
        <w:ind w:firstLine="640"/>
        <w:jc w:val="both"/>
      </w:pPr>
      <w:r>
        <w:rPr>
          <w:rFonts w:ascii="仿宋_GB2312" w:hAnsi="仿宋_GB2312" w:eastAsia="仿宋_GB2312"/>
          <w:b w:val="0"/>
          <w:sz w:val="32"/>
        </w:rPr>
        <w:t>9.住房保障支出(类)住房改革支出(款)住房公积金(项):支出决算数为26.81万元，比上年决算增加2.50万元，增长10.28%,主要原因是：本年在职人员工资基数调增，公积金缴费基数上涨，相应支出增加。</w:t>
      </w:r>
    </w:p>
    <w:p w14:paraId="12B3F268">
      <w:pPr>
        <w:spacing w:line="580" w:lineRule="exact"/>
        <w:ind w:firstLine="640"/>
        <w:jc w:val="both"/>
      </w:pPr>
      <w:r>
        <w:rPr>
          <w:rFonts w:ascii="仿宋_GB2312" w:hAnsi="仿宋_GB2312" w:eastAsia="仿宋_GB2312"/>
          <w:b w:val="0"/>
          <w:sz w:val="32"/>
        </w:rPr>
        <w:t>10.其他支出(类)其他支出(款)其他支出(项):支出决算数为2.44万元，比上年决算增加1.54万元，增长171.11%,主要原因是：本年为民办实事好事经费较上年增加。</w:t>
      </w:r>
    </w:p>
    <w:p w14:paraId="3F3D4191">
      <w:pPr>
        <w:spacing w:line="640" w:lineRule="exact"/>
        <w:ind w:firstLine="640"/>
        <w:jc w:val="both"/>
        <w:outlineLvl w:val="2"/>
      </w:pPr>
      <w:r>
        <w:rPr>
          <w:rFonts w:ascii="黑体" w:hAnsi="黑体" w:eastAsia="黑体"/>
          <w:sz w:val="32"/>
        </w:rPr>
        <w:t>六、一般公共预算财政拨款基本支出决算情况说明</w:t>
      </w:r>
    </w:p>
    <w:p w14:paraId="27043784">
      <w:pPr>
        <w:spacing w:line="580" w:lineRule="exact"/>
        <w:ind w:firstLine="640"/>
        <w:jc w:val="both"/>
      </w:pPr>
      <w:r>
        <w:rPr>
          <w:rFonts w:ascii="仿宋_GB2312" w:hAnsi="仿宋_GB2312" w:eastAsia="仿宋_GB2312"/>
          <w:b w:val="0"/>
          <w:sz w:val="32"/>
        </w:rPr>
        <w:t>2024年度一般公共预算财政拨款基本支出505.49万元，其中：</w:t>
      </w:r>
      <w:r>
        <w:rPr>
          <w:rFonts w:ascii="仿宋_GB2312" w:hAnsi="仿宋_GB2312" w:eastAsia="仿宋_GB2312"/>
          <w:b/>
          <w:sz w:val="32"/>
        </w:rPr>
        <w:t>人员经费358.28万元，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包括：基本工资、津贴补贴、奖金、机关事业单位基本养老保险缴费、职业年金缴费、职工基本医疗保险缴费、公务员医疗补助缴费、其他社会保障缴费、住房公积金、退休费、生活补助、奖励金。</w:t>
      </w:r>
    </w:p>
    <w:p w14:paraId="7F6B2975">
      <w:pPr>
        <w:spacing w:line="580" w:lineRule="exact"/>
        <w:ind w:firstLine="640"/>
        <w:jc w:val="both"/>
      </w:pPr>
      <w:r>
        <w:rPr>
          <w:rFonts w:ascii="仿宋_GB2312" w:hAnsi="仿宋_GB2312" w:eastAsia="仿宋_GB2312"/>
          <w:b/>
          <w:sz w:val="32"/>
        </w:rPr>
        <w:t>公用经费147.21万元，</w:t>
      </w:r>
      <w:r>
        <w:rPr>
          <w:rFonts w:ascii="仿宋_GB2312" w:hAnsi="仿宋_GB2312" w:eastAsia="仿宋_GB2312"/>
          <w:b w:val="0"/>
          <w:sz w:val="32"/>
        </w:rPr>
        <w:t>包括：办公费、手续费、差旅费、维修（护）费、租赁费、委托业务费、工会经费。</w:t>
      </w:r>
    </w:p>
    <w:p w14:paraId="0E174A0B">
      <w:pPr>
        <w:spacing w:line="640" w:lineRule="exact"/>
        <w:ind w:firstLine="640"/>
        <w:jc w:val="both"/>
        <w:outlineLvl w:val="2"/>
      </w:pPr>
      <w:r>
        <w:rPr>
          <w:rFonts w:ascii="黑体" w:hAnsi="黑体" w:eastAsia="黑体"/>
          <w:sz w:val="32"/>
        </w:rPr>
        <w:t>七、政府性基金预算财政拨款收入支出决算情况说明</w:t>
      </w:r>
    </w:p>
    <w:p w14:paraId="718959F5">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08F042A">
      <w:pPr>
        <w:spacing w:line="640" w:lineRule="exact"/>
        <w:ind w:firstLine="640"/>
        <w:jc w:val="both"/>
        <w:outlineLvl w:val="2"/>
      </w:pPr>
      <w:r>
        <w:rPr>
          <w:rFonts w:ascii="黑体" w:hAnsi="黑体" w:eastAsia="黑体"/>
          <w:sz w:val="32"/>
        </w:rPr>
        <w:t>八、国有资本经营预算财政拨款收入支出决算情况说明</w:t>
      </w:r>
    </w:p>
    <w:p w14:paraId="1E5ED0A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C929454">
      <w:pPr>
        <w:spacing w:line="640" w:lineRule="exact"/>
        <w:ind w:firstLine="640"/>
        <w:jc w:val="both"/>
        <w:outlineLvl w:val="2"/>
      </w:pPr>
      <w:r>
        <w:rPr>
          <w:rFonts w:ascii="黑体" w:hAnsi="黑体" w:eastAsia="黑体"/>
          <w:sz w:val="32"/>
        </w:rPr>
        <w:t>九、财政拨款“三公”经费支出决算情况说明</w:t>
      </w:r>
    </w:p>
    <w:p w14:paraId="50166847">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减少1.55万元，下降100.00%，主要原因是：本年车辆未使用，未产生公务用车运行维护费。其中：因公出国（境）费支出0.00万元，占0.00%，比上年增加0.00万元，增长0.00%，主要原因是：2023年与2024年均未安排因公出国（境）费支出。公务用车购置及运行维护费支出0.00万元，占0.00%，比上年减少1.55万元，下降100.00%，主要原因是：本年车辆未使用，未产生公务用车运行维护费。公务接待费支出0.00万元，占0.00%，比上年增加0.00万元，增长0.00%，主要原因是：2023年与2024年均未安排公务接待费支出。</w:t>
      </w:r>
    </w:p>
    <w:p w14:paraId="6E6C00F6">
      <w:pPr>
        <w:spacing w:line="580" w:lineRule="exact"/>
        <w:ind w:firstLine="640"/>
        <w:jc w:val="both"/>
      </w:pPr>
      <w:r>
        <w:rPr>
          <w:rFonts w:ascii="仿宋_GB2312" w:hAnsi="仿宋_GB2312" w:eastAsia="仿宋_GB2312"/>
          <w:b/>
          <w:sz w:val="32"/>
        </w:rPr>
        <w:t>具体情况如下：</w:t>
      </w:r>
    </w:p>
    <w:p w14:paraId="0F98680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C6689B9">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5辆，与公务用车保有量差异原因是：差异车辆</w:t>
      </w:r>
      <w:r>
        <w:rPr>
          <w:rFonts w:hint="eastAsia" w:ascii="仿宋_GB2312" w:hAnsi="仿宋_GB2312" w:eastAsia="仿宋_GB2312"/>
          <w:b w:val="0"/>
          <w:sz w:val="32"/>
          <w:lang w:val="en-US" w:eastAsia="zh-CN"/>
        </w:rPr>
        <w:t>是因为车辆未使用</w:t>
      </w:r>
      <w:r>
        <w:rPr>
          <w:rFonts w:ascii="仿宋_GB2312" w:hAnsi="仿宋_GB2312" w:eastAsia="仿宋_GB2312"/>
          <w:b w:val="0"/>
          <w:sz w:val="32"/>
        </w:rPr>
        <w:t>，预算未安排公务用车运行维护费。</w:t>
      </w:r>
    </w:p>
    <w:p w14:paraId="23D33C86">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9232AF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555D329">
      <w:pPr>
        <w:spacing w:line="640" w:lineRule="exact"/>
        <w:ind w:firstLine="640"/>
        <w:jc w:val="both"/>
        <w:outlineLvl w:val="2"/>
      </w:pPr>
      <w:r>
        <w:rPr>
          <w:rFonts w:ascii="黑体" w:hAnsi="黑体" w:eastAsia="黑体"/>
          <w:sz w:val="32"/>
        </w:rPr>
        <w:t>十、其他重要事项的情况说明</w:t>
      </w:r>
    </w:p>
    <w:p w14:paraId="261A0C00">
      <w:pPr>
        <w:spacing w:line="640" w:lineRule="exact"/>
        <w:ind w:firstLine="640"/>
        <w:jc w:val="both"/>
        <w:outlineLvl w:val="3"/>
      </w:pPr>
      <w:r>
        <w:rPr>
          <w:rFonts w:ascii="楷体_GB2312" w:hAnsi="楷体_GB2312" w:eastAsia="楷体_GB2312"/>
          <w:b/>
          <w:sz w:val="32"/>
        </w:rPr>
        <w:t>（一）机关运行经费及公用经费支出情况</w:t>
      </w:r>
    </w:p>
    <w:p w14:paraId="45785D47">
      <w:pPr>
        <w:spacing w:line="580" w:lineRule="exact"/>
        <w:ind w:firstLine="640"/>
        <w:jc w:val="both"/>
      </w:pPr>
      <w:r>
        <w:rPr>
          <w:rFonts w:ascii="仿宋_GB2312" w:hAnsi="仿宋_GB2312" w:eastAsia="仿宋_GB2312"/>
          <w:b w:val="0"/>
          <w:sz w:val="32"/>
        </w:rPr>
        <w:t>2024年度且末县人民政府本级（行政单位和参照公务员法管理事业单位）机关运行经费支出147.21万元，比上年增加80.26万元，增长119.88%，主要原因是：本年租赁费、办公费、手续费、维修（护）费、差旅费增加，导致公用经费增加。</w:t>
      </w:r>
    </w:p>
    <w:p w14:paraId="7B5D68AB">
      <w:pPr>
        <w:spacing w:line="640" w:lineRule="exact"/>
        <w:ind w:firstLine="640"/>
        <w:jc w:val="both"/>
        <w:outlineLvl w:val="3"/>
      </w:pPr>
      <w:r>
        <w:rPr>
          <w:rFonts w:ascii="楷体_GB2312" w:hAnsi="楷体_GB2312" w:eastAsia="楷体_GB2312"/>
          <w:b/>
          <w:sz w:val="32"/>
        </w:rPr>
        <w:t>（二）政府采购情况</w:t>
      </w:r>
    </w:p>
    <w:p w14:paraId="1A8FEE1D">
      <w:pPr>
        <w:spacing w:line="580" w:lineRule="exact"/>
        <w:ind w:firstLine="640"/>
        <w:jc w:val="both"/>
      </w:pPr>
      <w:r>
        <w:rPr>
          <w:rFonts w:ascii="仿宋_GB2312" w:hAnsi="仿宋_GB2312" w:eastAsia="仿宋_GB2312"/>
          <w:b w:val="0"/>
          <w:sz w:val="32"/>
        </w:rPr>
        <w:t>2024年度政府采购支出总额56.53万元，其中：政府采购货物支出2.27万元、政府采购工程支出0.00万元、政府采购服务支出54.26万元。</w:t>
      </w:r>
    </w:p>
    <w:p w14:paraId="092465F7">
      <w:pPr>
        <w:spacing w:line="580" w:lineRule="exact"/>
        <w:ind w:firstLine="640"/>
        <w:jc w:val="both"/>
      </w:pPr>
      <w:r>
        <w:rPr>
          <w:rFonts w:ascii="仿宋_GB2312" w:hAnsi="仿宋_GB2312" w:eastAsia="仿宋_GB2312"/>
          <w:b w:val="0"/>
          <w:sz w:val="32"/>
        </w:rPr>
        <w:t>授予中小企业合同金额56.53万元，占政府采购支出总额的100.00%，其中：授予小微企业合同金额48.46万元，占政府采购支出总额的85.72%。</w:t>
      </w:r>
    </w:p>
    <w:p w14:paraId="75980C38">
      <w:pPr>
        <w:spacing w:line="640" w:lineRule="exact"/>
        <w:ind w:firstLine="640"/>
        <w:jc w:val="both"/>
        <w:outlineLvl w:val="3"/>
      </w:pPr>
      <w:r>
        <w:rPr>
          <w:rFonts w:ascii="楷体_GB2312" w:hAnsi="楷体_GB2312" w:eastAsia="楷体_GB2312"/>
          <w:b/>
          <w:sz w:val="32"/>
        </w:rPr>
        <w:t>（三）国有资产占用情况说明</w:t>
      </w:r>
    </w:p>
    <w:p w14:paraId="335D7128">
      <w:pPr>
        <w:spacing w:line="580" w:lineRule="exact"/>
        <w:ind w:firstLine="640"/>
        <w:jc w:val="both"/>
      </w:pPr>
      <w:r>
        <w:rPr>
          <w:rFonts w:ascii="仿宋_GB2312" w:hAnsi="仿宋_GB2312" w:eastAsia="仿宋_GB2312"/>
          <w:b w:val="0"/>
          <w:sz w:val="32"/>
        </w:rPr>
        <w:t>截至2024年12月31日，房屋0.00平方米，价值0.00万元。车辆5辆，价值87.03万元，其中：副部（省）级及以上领导用车0辆、主要负责人用车3辆、机要通信用车0辆、应急保障用车0辆、执法执勤用车0辆、特种专业技术用车0辆、离退休干部服务用车0辆、其他用车2辆，其他用车主要是：单位业务用车。单价100万元（含）以上设备（不含车辆）0台（套）。</w:t>
      </w:r>
    </w:p>
    <w:p w14:paraId="0BA42FE2">
      <w:pPr>
        <w:spacing w:line="640" w:lineRule="exact"/>
        <w:ind w:firstLine="640"/>
        <w:jc w:val="both"/>
        <w:outlineLvl w:val="2"/>
      </w:pPr>
      <w:r>
        <w:rPr>
          <w:rFonts w:ascii="黑体" w:hAnsi="黑体" w:eastAsia="黑体"/>
          <w:sz w:val="32"/>
        </w:rPr>
        <w:t>十一、预算绩效的情况说明</w:t>
      </w:r>
    </w:p>
    <w:p w14:paraId="755CA945">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绩效项目。发现的问题及原因：2024年本单位无预算绩效项目。下一步改进措施：2024年本单位无预算绩效项目。</w:t>
      </w:r>
    </w:p>
    <w:p w14:paraId="731A07A5">
      <w:r>
        <w:br w:type="page"/>
      </w:r>
    </w:p>
    <w:p w14:paraId="647F3667">
      <w:pPr>
        <w:spacing w:line="640" w:lineRule="exact"/>
        <w:ind w:firstLine="640"/>
        <w:jc w:val="both"/>
        <w:outlineLvl w:val="2"/>
      </w:pPr>
      <w:r>
        <w:rPr>
          <w:rFonts w:ascii="黑体" w:hAnsi="黑体" w:eastAsia="黑体"/>
          <w:sz w:val="32"/>
        </w:rPr>
        <w:t>十二、其他需说明的事项</w:t>
      </w:r>
    </w:p>
    <w:p w14:paraId="23C636C2">
      <w:pPr>
        <w:spacing w:line="580" w:lineRule="exact"/>
        <w:ind w:firstLine="640"/>
        <w:jc w:val="both"/>
      </w:pPr>
      <w:r>
        <w:rPr>
          <w:rFonts w:ascii="仿宋_GB2312" w:hAnsi="仿宋_GB2312" w:eastAsia="仿宋_GB2312"/>
          <w:b w:val="0"/>
          <w:sz w:val="32"/>
        </w:rPr>
        <w:t>本年度本单位整体绩效自评表由主管部门编报并公开。</w:t>
      </w:r>
    </w:p>
    <w:p w14:paraId="06D03B73">
      <w:r>
        <w:br w:type="page"/>
      </w:r>
    </w:p>
    <w:p w14:paraId="5931EF85">
      <w:pPr>
        <w:spacing w:line="240" w:lineRule="auto"/>
        <w:jc w:val="center"/>
        <w:outlineLvl w:val="1"/>
      </w:pPr>
      <w:r>
        <w:rPr>
          <w:rFonts w:ascii="黑体" w:hAnsi="黑体" w:eastAsia="黑体"/>
          <w:sz w:val="32"/>
        </w:rPr>
        <w:t>第三部分 专业名词解释</w:t>
      </w:r>
    </w:p>
    <w:p w14:paraId="08B2539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3D51A5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5700F9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71B0C7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5BF140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36987A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DCDC66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8D7451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BBBFEA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EDAAFF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EF1CCD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47D5A3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20A762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C4B20B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DC010AD">
      <w:r>
        <w:br w:type="page"/>
      </w:r>
    </w:p>
    <w:p w14:paraId="093E945A">
      <w:pPr>
        <w:spacing w:line="240" w:lineRule="auto"/>
        <w:jc w:val="center"/>
        <w:outlineLvl w:val="1"/>
      </w:pPr>
      <w:r>
        <w:rPr>
          <w:rFonts w:ascii="黑体" w:hAnsi="黑体" w:eastAsia="黑体"/>
          <w:sz w:val="32"/>
        </w:rPr>
        <w:t>第四部分 部门决算报表（见附表）</w:t>
      </w:r>
    </w:p>
    <w:p w14:paraId="623DDE6D">
      <w:pPr>
        <w:spacing w:line="240" w:lineRule="auto"/>
        <w:ind w:firstLine="640"/>
        <w:jc w:val="both"/>
      </w:pPr>
      <w:r>
        <w:rPr>
          <w:rFonts w:ascii="仿宋_GB2312" w:hAnsi="仿宋_GB2312" w:eastAsia="仿宋_GB2312"/>
          <w:b w:val="0"/>
          <w:sz w:val="32"/>
        </w:rPr>
        <w:t>一、《收入支出决算总表》</w:t>
      </w:r>
    </w:p>
    <w:p w14:paraId="55880E12">
      <w:pPr>
        <w:spacing w:line="240" w:lineRule="auto"/>
        <w:ind w:firstLine="640"/>
        <w:jc w:val="both"/>
      </w:pPr>
      <w:r>
        <w:rPr>
          <w:rFonts w:ascii="仿宋_GB2312" w:hAnsi="仿宋_GB2312" w:eastAsia="仿宋_GB2312"/>
          <w:b w:val="0"/>
          <w:sz w:val="32"/>
        </w:rPr>
        <w:t>二、《收入决算表》</w:t>
      </w:r>
    </w:p>
    <w:p w14:paraId="4911462E">
      <w:pPr>
        <w:spacing w:line="240" w:lineRule="auto"/>
        <w:ind w:firstLine="640"/>
        <w:jc w:val="both"/>
      </w:pPr>
      <w:r>
        <w:rPr>
          <w:rFonts w:ascii="仿宋_GB2312" w:hAnsi="仿宋_GB2312" w:eastAsia="仿宋_GB2312"/>
          <w:b w:val="0"/>
          <w:sz w:val="32"/>
        </w:rPr>
        <w:t>三、《支出决算表》</w:t>
      </w:r>
    </w:p>
    <w:p w14:paraId="73468C57">
      <w:pPr>
        <w:spacing w:line="240" w:lineRule="auto"/>
        <w:ind w:firstLine="640"/>
        <w:jc w:val="both"/>
      </w:pPr>
      <w:r>
        <w:rPr>
          <w:rFonts w:ascii="仿宋_GB2312" w:hAnsi="仿宋_GB2312" w:eastAsia="仿宋_GB2312"/>
          <w:b w:val="0"/>
          <w:sz w:val="32"/>
        </w:rPr>
        <w:t>四、《财政拨款收入支出决算总表》</w:t>
      </w:r>
    </w:p>
    <w:p w14:paraId="3805FE92">
      <w:pPr>
        <w:spacing w:line="240" w:lineRule="auto"/>
        <w:ind w:firstLine="640"/>
        <w:jc w:val="both"/>
      </w:pPr>
      <w:r>
        <w:rPr>
          <w:rFonts w:ascii="仿宋_GB2312" w:hAnsi="仿宋_GB2312" w:eastAsia="仿宋_GB2312"/>
          <w:b w:val="0"/>
          <w:sz w:val="32"/>
        </w:rPr>
        <w:t>五、《一般公共预算财政拨款支出决算表》</w:t>
      </w:r>
    </w:p>
    <w:p w14:paraId="02DC678D">
      <w:pPr>
        <w:spacing w:line="240" w:lineRule="auto"/>
        <w:ind w:firstLine="640"/>
        <w:jc w:val="both"/>
      </w:pPr>
      <w:r>
        <w:rPr>
          <w:rFonts w:ascii="仿宋_GB2312" w:hAnsi="仿宋_GB2312" w:eastAsia="仿宋_GB2312"/>
          <w:b w:val="0"/>
          <w:sz w:val="32"/>
        </w:rPr>
        <w:t>六、《一般公共预算财政拨款基本支出决算表》</w:t>
      </w:r>
    </w:p>
    <w:p w14:paraId="6694B0D2">
      <w:pPr>
        <w:spacing w:line="240" w:lineRule="auto"/>
        <w:ind w:firstLine="640"/>
        <w:jc w:val="both"/>
      </w:pPr>
      <w:r>
        <w:rPr>
          <w:rFonts w:ascii="仿宋_GB2312" w:hAnsi="仿宋_GB2312" w:eastAsia="仿宋_GB2312"/>
          <w:b w:val="0"/>
          <w:sz w:val="32"/>
        </w:rPr>
        <w:t>七、《政府性基金预算财政拨款收入支出决算表》</w:t>
      </w:r>
    </w:p>
    <w:p w14:paraId="2132008E">
      <w:pPr>
        <w:spacing w:line="240" w:lineRule="auto"/>
        <w:ind w:firstLine="640"/>
        <w:jc w:val="both"/>
      </w:pPr>
      <w:r>
        <w:rPr>
          <w:rFonts w:ascii="仿宋_GB2312" w:hAnsi="仿宋_GB2312" w:eastAsia="仿宋_GB2312"/>
          <w:b w:val="0"/>
          <w:sz w:val="32"/>
        </w:rPr>
        <w:t>八、《国有资本经营预算财政拨款收入支出决算表》</w:t>
      </w:r>
    </w:p>
    <w:p w14:paraId="0E917147">
      <w:pPr>
        <w:spacing w:line="240" w:lineRule="auto"/>
        <w:ind w:firstLine="640"/>
        <w:jc w:val="both"/>
      </w:pPr>
      <w:r>
        <w:rPr>
          <w:rFonts w:ascii="仿宋_GB2312" w:hAnsi="仿宋_GB2312" w:eastAsia="仿宋_GB2312"/>
          <w:b w:val="0"/>
          <w:sz w:val="32"/>
        </w:rPr>
        <w:t>九、《财政拨款“三公”经费支出决算表》</w:t>
      </w:r>
    </w:p>
    <w:p w14:paraId="205F624A">
      <w:pPr>
        <w:spacing w:line="240" w:lineRule="auto"/>
        <w:ind w:firstLine="640"/>
        <w:jc w:val="both"/>
      </w:pPr>
    </w:p>
    <w:p w14:paraId="02E90E27">
      <w:pPr>
        <w:spacing w:line="240" w:lineRule="auto"/>
        <w:ind w:firstLine="640"/>
        <w:jc w:val="both"/>
      </w:pPr>
    </w:p>
    <w:p w14:paraId="3F381501">
      <w:pPr>
        <w:spacing w:line="240" w:lineRule="auto"/>
        <w:ind w:firstLine="640"/>
        <w:jc w:val="both"/>
      </w:pPr>
    </w:p>
    <w:p w14:paraId="36A51E9B">
      <w:pPr>
        <w:spacing w:line="240" w:lineRule="auto"/>
        <w:ind w:firstLine="640"/>
        <w:jc w:val="both"/>
      </w:pPr>
    </w:p>
    <w:p w14:paraId="43495F5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0C36D2-0827-49CA-A145-87CD1D14C8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684AA67-3D26-4A66-B751-E8AE56C9BA3A}"/>
  </w:font>
  <w:font w:name="仿宋_GB2312">
    <w:panose1 w:val="02010609030101010101"/>
    <w:charset w:val="86"/>
    <w:family w:val="modern"/>
    <w:pitch w:val="default"/>
    <w:sig w:usb0="00000001" w:usb1="080E0000" w:usb2="00000000" w:usb3="00000000" w:csb0="00040000" w:csb1="00000000"/>
    <w:embedRegular r:id="rId3" w:fontKey="{D6AF3A92-F788-486E-A090-81AB39D61B67}"/>
  </w:font>
  <w:font w:name="楷体_GB2312">
    <w:panose1 w:val="02010609030101010101"/>
    <w:charset w:val="86"/>
    <w:family w:val="auto"/>
    <w:pitch w:val="default"/>
    <w:sig w:usb0="00000001" w:usb1="080E0000" w:usb2="00000000" w:usb3="00000000" w:csb0="00040000" w:csb1="00000000"/>
    <w:embedRegular r:id="rId4" w:fontKey="{B87558BC-A578-4E1B-BF44-E0AFBE7893DE}"/>
  </w:font>
  <w:font w:name="WPSEMBED5">
    <w:panose1 w:val="02010609030101010101"/>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7FF33DC"/>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8844611"/>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3617F8"/>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6016</Words>
  <Characters>6715</Characters>
  <Lines>0</Lines>
  <Paragraphs>0</Paragraphs>
  <TotalTime>1</TotalTime>
  <ScaleCrop>false</ScaleCrop>
  <LinksUpToDate>false</LinksUpToDate>
  <CharactersWithSpaces>6725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2025-12-26T03:53:54Z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