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且末县发展和改革委员会本级2024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60F0C60">
      <w:r>
        <w:br w:type="page"/>
      </w:r>
    </w:p>
    <w:p w14:paraId="5C2948F0">
      <w:pPr>
        <w:spacing w:line="640" w:lineRule="exact"/>
        <w:jc w:val="center"/>
        <w:outlineLvl w:val="1"/>
      </w:pPr>
      <w:r>
        <w:rPr>
          <w:rFonts w:ascii="黑体" w:hAnsi="黑体" w:eastAsia="黑体"/>
          <w:sz w:val="32"/>
        </w:rPr>
        <w:t>第一部分 部门概况</w:t>
      </w:r>
    </w:p>
    <w:p w14:paraId="2F9275B6">
      <w:pPr>
        <w:spacing w:line="640" w:lineRule="exact"/>
        <w:ind w:firstLine="640"/>
        <w:jc w:val="both"/>
        <w:outlineLvl w:val="2"/>
      </w:pPr>
      <w:r>
        <w:rPr>
          <w:rFonts w:ascii="黑体" w:hAnsi="黑体" w:eastAsia="黑体"/>
          <w:sz w:val="32"/>
        </w:rPr>
        <w:t>一、主要职能</w:t>
      </w:r>
    </w:p>
    <w:p w14:paraId="3156976F">
      <w:pPr>
        <w:spacing w:line="580" w:lineRule="exact"/>
        <w:ind w:firstLine="640"/>
        <w:jc w:val="both"/>
      </w:pPr>
      <w:r>
        <w:rPr>
          <w:rFonts w:ascii="仿宋_GB2312" w:hAnsi="仿宋_GB2312" w:eastAsia="仿宋_GB2312"/>
          <w:sz w:val="32"/>
        </w:rPr>
        <w:t>1.设立国民经济规划和发展科（股）。设立该股室主要考虑目前县发改委对县域宏观经济参与度较弱、此股室将主要研究县域宏观经济发展、对内调研掌握且末县以及县直部门单位发展需求、对外深入研究上级国民经济和社会发展中的相关政策，将我县的经济需求和上级经济政策有效衔接，明确跑办的目标和重点方向，促进我县经济高质量发展。具体职责见初稿。</w:t>
      </w:r>
    </w:p>
    <w:p w14:paraId="3A4B0323">
      <w:pPr>
        <w:spacing w:line="580" w:lineRule="exact"/>
        <w:ind w:firstLine="640"/>
        <w:jc w:val="both"/>
      </w:pPr>
      <w:r>
        <w:rPr>
          <w:rFonts w:ascii="仿宋_GB2312" w:hAnsi="仿宋_GB2312" w:eastAsia="仿宋_GB2312"/>
          <w:sz w:val="32"/>
        </w:rPr>
        <w:t>2.设立产业发展和固定资产投资科（股）。主要承担项目工作，做好权限内中央</w:t>
      </w:r>
      <w:bookmarkStart w:id="0" w:name="_GoBack"/>
      <w:bookmarkEnd w:id="0"/>
      <w:r>
        <w:rPr>
          <w:rFonts w:ascii="仿宋_GB2312" w:hAnsi="仿宋_GB2312" w:eastAsia="仿宋_GB2312"/>
          <w:sz w:val="32"/>
        </w:rPr>
        <w:t>财政和上级财政投资、县财政资金项目建设的审核上报、审批、核准、备案等工作，做好各类项目前期服务和全程跟踪管理。确保上级项目的重点投资方向和县直各部门、各乡镇项目需求的有效衔接。具体职责见初稿。</w:t>
      </w:r>
    </w:p>
    <w:p w14:paraId="37628EF0">
      <w:pPr>
        <w:spacing w:line="580" w:lineRule="exact"/>
        <w:ind w:firstLine="640"/>
        <w:jc w:val="both"/>
      </w:pPr>
      <w:r>
        <w:rPr>
          <w:rFonts w:ascii="仿宋_GB2312" w:hAnsi="仿宋_GB2312" w:eastAsia="仿宋_GB2312"/>
          <w:sz w:val="32"/>
        </w:rPr>
        <w:t>3.设立价格科（股）。主要承担价格相关工作，负责权限内政府管理的重要商品、服务等价格认定和价格认定复核工作。具体职责见初稿。</w:t>
      </w:r>
    </w:p>
    <w:p w14:paraId="6D3FE0D6">
      <w:pPr>
        <w:spacing w:line="580" w:lineRule="exact"/>
        <w:ind w:firstLine="640"/>
        <w:jc w:val="both"/>
      </w:pPr>
      <w:r>
        <w:rPr>
          <w:rFonts w:ascii="仿宋_GB2312" w:hAnsi="仿宋_GB2312" w:eastAsia="仿宋_GB2312"/>
          <w:sz w:val="32"/>
        </w:rPr>
        <w:t>4.设立粮食和物资储备科（股），主要承担粮食、物资储备工作，负责粮油、棉花、食盐等重要商品和救灾物资等储备，粮食安全县长责任制考核。具体职责见初稿。</w:t>
      </w:r>
    </w:p>
    <w:p w14:paraId="2B7B0A87">
      <w:pPr>
        <w:spacing w:line="580" w:lineRule="exact"/>
        <w:ind w:firstLine="640"/>
        <w:jc w:val="both"/>
      </w:pPr>
      <w:r>
        <w:rPr>
          <w:rFonts w:ascii="仿宋_GB2312" w:hAnsi="仿宋_GB2312" w:eastAsia="仿宋_GB2312"/>
          <w:sz w:val="32"/>
        </w:rPr>
        <w:t>5.设立企业服务、能源和援疆办公室。设立此股室充分考虑且末县油气等能源资源的发展和服务重点企业的中长期需要。主要承担服务企业、配合</w:t>
      </w:r>
      <w:r>
        <w:rPr>
          <w:rFonts w:hint="eastAsia" w:ascii="仿宋_GB2312" w:hAnsi="仿宋_GB2312" w:eastAsia="仿宋_GB2312"/>
          <w:sz w:val="32"/>
          <w:lang w:eastAsia="zh-CN"/>
        </w:rPr>
        <w:t>招</w:t>
      </w:r>
      <w:r>
        <w:rPr>
          <w:rFonts w:ascii="仿宋_GB2312" w:hAnsi="仿宋_GB2312" w:eastAsia="仿宋_GB2312"/>
          <w:sz w:val="32"/>
        </w:rPr>
        <w:t>商引资，优化营商环境、对口援疆、能源、油气管道保护、节能及高技术产业有关综合协调等工作，负责推进实施“一带一路”、丝绸之路经济带核心区建设、中巴经济走廊综合承载区、西部大开发战略、且末县城镇化建设和对内对外开放交流合作等重点工作，受理查处违法违规用能案件。</w:t>
      </w:r>
    </w:p>
    <w:p w14:paraId="52E10BE7">
      <w:pPr>
        <w:spacing w:line="580" w:lineRule="exact"/>
        <w:ind w:firstLine="640"/>
        <w:jc w:val="both"/>
      </w:pPr>
      <w:r>
        <w:rPr>
          <w:rFonts w:ascii="仿宋_GB2312" w:hAnsi="仿宋_GB2312" w:eastAsia="仿宋_GB2312"/>
          <w:sz w:val="32"/>
        </w:rPr>
        <w:t>6.设立党政办，负责党政日常工作。</w:t>
      </w:r>
    </w:p>
    <w:p w14:paraId="726E5AC7">
      <w:pPr>
        <w:spacing w:line="640" w:lineRule="exact"/>
        <w:ind w:firstLine="640"/>
        <w:jc w:val="both"/>
        <w:outlineLvl w:val="2"/>
      </w:pPr>
      <w:r>
        <w:rPr>
          <w:rFonts w:ascii="黑体" w:hAnsi="黑体" w:eastAsia="黑体"/>
          <w:sz w:val="32"/>
        </w:rPr>
        <w:t>二、机构设置及人员情况</w:t>
      </w:r>
    </w:p>
    <w:p w14:paraId="7DBDD436">
      <w:pPr>
        <w:spacing w:line="580" w:lineRule="exact"/>
        <w:ind w:firstLine="640"/>
        <w:jc w:val="both"/>
      </w:pPr>
      <w:r>
        <w:rPr>
          <w:rFonts w:ascii="仿宋_GB2312" w:hAnsi="仿宋_GB2312" w:eastAsia="仿宋_GB2312"/>
          <w:sz w:val="32"/>
        </w:rPr>
        <w:t>且末县发展和改革委员会本级2024年度，实有人数26人，其中：在职人员8人，减少3人；离休人员0人，增加0人；退休人员18人,增加1人。</w:t>
      </w:r>
    </w:p>
    <w:p w14:paraId="1804776E">
      <w:pPr>
        <w:spacing w:line="580" w:lineRule="exact"/>
        <w:ind w:firstLine="640"/>
        <w:jc w:val="both"/>
      </w:pPr>
      <w:r>
        <w:rPr>
          <w:rFonts w:ascii="仿宋_GB2312" w:hAnsi="仿宋_GB2312" w:eastAsia="仿宋_GB2312"/>
          <w:sz w:val="32"/>
        </w:rPr>
        <w:t>且末县发展和改革委员会本级无下属预算单位，下设5个科室，分别是：党政办公室、国民经济规划和发展科、产业发展和固定资产投资科、企业服务能源和援疆办公室、粮食储备和价格科。</w:t>
      </w:r>
    </w:p>
    <w:p w14:paraId="1AB68F26">
      <w:r>
        <w:br w:type="page"/>
      </w:r>
    </w:p>
    <w:p w14:paraId="29133204">
      <w:pPr>
        <w:spacing w:line="240" w:lineRule="auto"/>
        <w:jc w:val="center"/>
        <w:outlineLvl w:val="1"/>
      </w:pPr>
      <w:r>
        <w:rPr>
          <w:rFonts w:ascii="黑体" w:hAnsi="黑体" w:eastAsia="黑体"/>
          <w:sz w:val="32"/>
        </w:rPr>
        <w:t>第二部分 部门决算情况说明</w:t>
      </w:r>
    </w:p>
    <w:p w14:paraId="58F63B1D">
      <w:pPr>
        <w:spacing w:line="640" w:lineRule="exact"/>
        <w:ind w:firstLine="640"/>
        <w:jc w:val="both"/>
        <w:outlineLvl w:val="2"/>
      </w:pPr>
      <w:r>
        <w:rPr>
          <w:rFonts w:ascii="黑体" w:hAnsi="黑体" w:eastAsia="黑体"/>
          <w:sz w:val="32"/>
        </w:rPr>
        <w:t>一、收入支出决算总体情况说明</w:t>
      </w:r>
    </w:p>
    <w:p w14:paraId="55BA5A29">
      <w:pPr>
        <w:spacing w:line="580" w:lineRule="exact"/>
        <w:ind w:firstLine="640"/>
        <w:jc w:val="both"/>
      </w:pPr>
      <w:r>
        <w:rPr>
          <w:rFonts w:ascii="仿宋_GB2312" w:hAnsi="仿宋_GB2312" w:eastAsia="仿宋_GB2312"/>
          <w:b/>
          <w:sz w:val="32"/>
        </w:rPr>
        <w:t>2024年度收入总计4,445.26万元，</w:t>
      </w:r>
      <w:r>
        <w:rPr>
          <w:rFonts w:ascii="仿宋_GB2312" w:hAnsi="仿宋_GB2312" w:eastAsia="仿宋_GB2312"/>
          <w:b w:val="0"/>
          <w:sz w:val="32"/>
        </w:rPr>
        <w:t>其中：本年收入合计4,445.26万元，使用非财政拨款结余（含专用结余）0.00万元，年初结转和结余0.00万元。</w:t>
      </w:r>
    </w:p>
    <w:p w14:paraId="3BA99A87">
      <w:pPr>
        <w:spacing w:line="580" w:lineRule="exact"/>
        <w:ind w:firstLine="640"/>
        <w:jc w:val="both"/>
      </w:pPr>
      <w:r>
        <w:rPr>
          <w:rFonts w:ascii="仿宋_GB2312" w:hAnsi="仿宋_GB2312" w:eastAsia="仿宋_GB2312"/>
          <w:b/>
          <w:sz w:val="32"/>
        </w:rPr>
        <w:t>2024年度支出总计4,445.26万元，</w:t>
      </w:r>
      <w:r>
        <w:rPr>
          <w:rFonts w:ascii="仿宋_GB2312" w:hAnsi="仿宋_GB2312" w:eastAsia="仿宋_GB2312"/>
          <w:b w:val="0"/>
          <w:sz w:val="32"/>
        </w:rPr>
        <w:t>其中：本年支出合计4,445.26万元，结余分配0.00万元，年末结转和结余0.00万元。</w:t>
      </w:r>
    </w:p>
    <w:p w14:paraId="2CC625E9">
      <w:pPr>
        <w:spacing w:line="580" w:lineRule="exact"/>
        <w:ind w:firstLine="640"/>
        <w:jc w:val="both"/>
      </w:pPr>
      <w:r>
        <w:rPr>
          <w:rFonts w:ascii="仿宋_GB2312" w:hAnsi="仿宋_GB2312" w:eastAsia="仿宋_GB2312"/>
          <w:b w:val="0"/>
          <w:sz w:val="32"/>
        </w:rPr>
        <w:t>收入支出总体与上年相比，减少8,436.18万元，下降65.49%，主要原因是：本年减少2022年棉花目标价格补贴、2022年县级储备粮补贴款等项目经费，减少粮食风险基金经费，导致相关经费减少。</w:t>
      </w:r>
    </w:p>
    <w:p w14:paraId="357E97E2">
      <w:pPr>
        <w:spacing w:line="640" w:lineRule="exact"/>
        <w:ind w:firstLine="640"/>
        <w:jc w:val="both"/>
        <w:outlineLvl w:val="2"/>
      </w:pPr>
      <w:r>
        <w:rPr>
          <w:rFonts w:ascii="黑体" w:hAnsi="黑体" w:eastAsia="黑体"/>
          <w:sz w:val="32"/>
        </w:rPr>
        <w:t>二、收入决算情况说明</w:t>
      </w:r>
    </w:p>
    <w:p w14:paraId="7988A4EF">
      <w:pPr>
        <w:spacing w:line="580" w:lineRule="exact"/>
        <w:ind w:firstLine="640"/>
        <w:jc w:val="both"/>
      </w:pPr>
      <w:r>
        <w:rPr>
          <w:rFonts w:ascii="仿宋_GB2312" w:hAnsi="仿宋_GB2312" w:eastAsia="仿宋_GB2312"/>
          <w:b/>
          <w:sz w:val="32"/>
        </w:rPr>
        <w:t>本年收入4,445.26万元，</w:t>
      </w:r>
      <w:r>
        <w:rPr>
          <w:rFonts w:ascii="仿宋_GB2312" w:hAnsi="仿宋_GB2312" w:eastAsia="仿宋_GB2312"/>
          <w:b w:val="0"/>
          <w:sz w:val="32"/>
        </w:rPr>
        <w:t>其中：财政拨款收入4,445.20万元，占100.00%；上级补助收入0.00万元，占0.00%；事业收入0.00万元，占0.00%；经营收入0.00万元，占0.00%；附属单位上缴收入0.00万元，占0.00%；其他收入0.06万元，占0.001%。</w:t>
      </w:r>
    </w:p>
    <w:p w14:paraId="3C250D5B">
      <w:pPr>
        <w:spacing w:line="640" w:lineRule="exact"/>
        <w:ind w:firstLine="640"/>
        <w:jc w:val="both"/>
        <w:outlineLvl w:val="2"/>
      </w:pPr>
      <w:r>
        <w:rPr>
          <w:rFonts w:ascii="黑体" w:hAnsi="黑体" w:eastAsia="黑体"/>
          <w:sz w:val="32"/>
        </w:rPr>
        <w:t>三、支出决算情况说明</w:t>
      </w:r>
    </w:p>
    <w:p w14:paraId="767EB66B">
      <w:pPr>
        <w:spacing w:line="580" w:lineRule="exact"/>
        <w:ind w:firstLine="640"/>
        <w:jc w:val="both"/>
      </w:pPr>
      <w:r>
        <w:rPr>
          <w:rFonts w:ascii="仿宋_GB2312" w:hAnsi="仿宋_GB2312" w:eastAsia="仿宋_GB2312"/>
          <w:b/>
          <w:sz w:val="32"/>
        </w:rPr>
        <w:t>本年支出4,445.26万元，</w:t>
      </w:r>
      <w:r>
        <w:rPr>
          <w:rFonts w:ascii="仿宋_GB2312" w:hAnsi="仿宋_GB2312" w:eastAsia="仿宋_GB2312"/>
          <w:b w:val="0"/>
          <w:sz w:val="32"/>
        </w:rPr>
        <w:t>其中：基本支出224.00万元，占5.04%；项目支出4,221.25万元，占94.96%；上缴上级支出0.00万元，占0.00%；经营支出0.00万元，占0.00%；对附属单位补助支出0.00万元，占0.00%。</w:t>
      </w:r>
    </w:p>
    <w:p w14:paraId="1F6746FB">
      <w:pPr>
        <w:spacing w:line="640" w:lineRule="exact"/>
        <w:ind w:firstLine="640"/>
        <w:jc w:val="both"/>
        <w:outlineLvl w:val="2"/>
      </w:pPr>
      <w:r>
        <w:rPr>
          <w:rFonts w:ascii="黑体" w:hAnsi="黑体" w:eastAsia="黑体"/>
          <w:sz w:val="32"/>
        </w:rPr>
        <w:t>四、财政拨款收入支出决算总体情况说明</w:t>
      </w:r>
    </w:p>
    <w:p w14:paraId="40227207">
      <w:pPr>
        <w:spacing w:line="580" w:lineRule="exact"/>
        <w:ind w:firstLine="640"/>
        <w:jc w:val="both"/>
      </w:pPr>
      <w:r>
        <w:rPr>
          <w:rFonts w:ascii="仿宋_GB2312" w:hAnsi="仿宋_GB2312" w:eastAsia="仿宋_GB2312"/>
          <w:b/>
          <w:sz w:val="32"/>
        </w:rPr>
        <w:t>2024年度财政拨款收入总计4,445.20万元，</w:t>
      </w:r>
      <w:r>
        <w:rPr>
          <w:rFonts w:ascii="仿宋_GB2312" w:hAnsi="仿宋_GB2312" w:eastAsia="仿宋_GB2312"/>
          <w:b w:val="0"/>
          <w:sz w:val="32"/>
        </w:rPr>
        <w:t>其中：年初财政拨款结转和结余0.00万元，本年财政拨款收入4,445.20万元。</w:t>
      </w:r>
      <w:r>
        <w:rPr>
          <w:rFonts w:ascii="仿宋_GB2312" w:hAnsi="仿宋_GB2312" w:eastAsia="仿宋_GB2312"/>
          <w:b/>
          <w:sz w:val="32"/>
        </w:rPr>
        <w:t>财政拨款支出总计4,445.20万元，</w:t>
      </w:r>
      <w:r>
        <w:rPr>
          <w:rFonts w:ascii="仿宋_GB2312" w:hAnsi="仿宋_GB2312" w:eastAsia="仿宋_GB2312"/>
          <w:b w:val="0"/>
          <w:sz w:val="32"/>
        </w:rPr>
        <w:t>其中：年末财政拨款结转和结余0.00万元，本年财政拨款支出4,445.20万元。</w:t>
      </w:r>
    </w:p>
    <w:p w14:paraId="7568A94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减少8,436.24万元，下降65.49%，主要原因是：本年减少2022年棉花目标价格补贴、2022年县级储备粮补贴款等项目经费，减少粮食风险基金经费，导致相关经费减少。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年初预算数264.71万元，决算数4,445.20万元，预决算差异率1579.27%，主要原因是：年中追加棉花目标价格补贴等项目经费，导致预决算存在差异。</w:t>
      </w:r>
    </w:p>
    <w:p w14:paraId="0C697496">
      <w:pPr>
        <w:spacing w:line="640" w:lineRule="exact"/>
        <w:ind w:firstLine="640"/>
        <w:jc w:val="both"/>
        <w:outlineLvl w:val="2"/>
      </w:pPr>
      <w:r>
        <w:rPr>
          <w:rFonts w:ascii="黑体" w:hAnsi="黑体" w:eastAsia="黑体"/>
          <w:sz w:val="32"/>
        </w:rPr>
        <w:t>五、一般公共预算财政拨款支出决算情况说明</w:t>
      </w:r>
    </w:p>
    <w:p w14:paraId="3BD80233">
      <w:pPr>
        <w:spacing w:line="640" w:lineRule="exact"/>
        <w:ind w:firstLine="640"/>
        <w:jc w:val="both"/>
        <w:outlineLvl w:val="3"/>
      </w:pPr>
      <w:r>
        <w:rPr>
          <w:rFonts w:ascii="楷体_GB2312" w:hAnsi="楷体_GB2312" w:eastAsia="楷体_GB2312"/>
          <w:b/>
          <w:sz w:val="32"/>
        </w:rPr>
        <w:t>（一）一般公共预算财政拨款支出决算总体情况</w:t>
      </w:r>
    </w:p>
    <w:p w14:paraId="337674EF">
      <w:pPr>
        <w:spacing w:line="580" w:lineRule="exact"/>
        <w:ind w:firstLine="640"/>
        <w:jc w:val="both"/>
      </w:pPr>
      <w:r>
        <w:rPr>
          <w:rFonts w:ascii="仿宋_GB2312" w:hAnsi="仿宋_GB2312" w:eastAsia="仿宋_GB2312"/>
          <w:b/>
          <w:sz w:val="32"/>
        </w:rPr>
        <w:t>2024年度一般公共预算财政拨款支出4,445.20万元，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减少8,436.24万元，下降65.49%，主要原因是：本年减少2022年棉花目标价格补贴、2022年县级储备粮补贴款等项目经费，减少粮食风险基金经费，导致相关经费减少。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年初预算数264.71万元，决算数4,445.20万元，预决算差异率1579.27%，主要原因是：年中追加棉花目标价格补贴等项目经费，导致预决算存在差异。</w:t>
      </w:r>
    </w:p>
    <w:p w14:paraId="05672C77">
      <w:pPr>
        <w:spacing w:line="640" w:lineRule="exact"/>
        <w:ind w:firstLine="640"/>
        <w:jc w:val="both"/>
        <w:outlineLvl w:val="3"/>
      </w:pPr>
      <w:r>
        <w:rPr>
          <w:rFonts w:ascii="楷体_GB2312" w:hAnsi="楷体_GB2312" w:eastAsia="楷体_GB2312"/>
          <w:b/>
          <w:sz w:val="32"/>
        </w:rPr>
        <w:t>（二）一般公共预算财政拨款支出决算结构情况</w:t>
      </w:r>
    </w:p>
    <w:p w14:paraId="03A82AFD">
      <w:pPr>
        <w:spacing w:line="580" w:lineRule="exact"/>
        <w:ind w:firstLine="640"/>
        <w:jc w:val="both"/>
      </w:pPr>
      <w:r>
        <w:rPr>
          <w:rFonts w:ascii="仿宋_GB2312" w:hAnsi="仿宋_GB2312" w:eastAsia="仿宋_GB2312"/>
          <w:b w:val="0"/>
          <w:sz w:val="32"/>
        </w:rPr>
        <w:t>1.一般公共服务支出(类)160.92万元,占3.62%。</w:t>
      </w:r>
    </w:p>
    <w:p w14:paraId="2E12268A">
      <w:pPr>
        <w:spacing w:line="580" w:lineRule="exact"/>
        <w:ind w:firstLine="640"/>
        <w:jc w:val="both"/>
      </w:pPr>
      <w:r>
        <w:rPr>
          <w:rFonts w:ascii="仿宋_GB2312" w:hAnsi="仿宋_GB2312" w:eastAsia="仿宋_GB2312"/>
          <w:b w:val="0"/>
          <w:sz w:val="32"/>
        </w:rPr>
        <w:t>2.社会保障和就业支出(类)38.43万元,占0.86%。</w:t>
      </w:r>
    </w:p>
    <w:p w14:paraId="1F9C297A">
      <w:pPr>
        <w:spacing w:line="580" w:lineRule="exact"/>
        <w:ind w:firstLine="640"/>
        <w:jc w:val="both"/>
      </w:pPr>
      <w:r>
        <w:rPr>
          <w:rFonts w:ascii="仿宋_GB2312" w:hAnsi="仿宋_GB2312" w:eastAsia="仿宋_GB2312"/>
          <w:b w:val="0"/>
          <w:sz w:val="32"/>
        </w:rPr>
        <w:t>3.卫生健康支出(类)10.60万元,占0.24%。</w:t>
      </w:r>
    </w:p>
    <w:p w14:paraId="29E40041">
      <w:pPr>
        <w:spacing w:line="580" w:lineRule="exact"/>
        <w:ind w:firstLine="640"/>
        <w:jc w:val="both"/>
      </w:pPr>
      <w:r>
        <w:rPr>
          <w:rFonts w:ascii="仿宋_GB2312" w:hAnsi="仿宋_GB2312" w:eastAsia="仿宋_GB2312"/>
          <w:b w:val="0"/>
          <w:sz w:val="32"/>
        </w:rPr>
        <w:t>4.农林水支出(类)3,993.76万元,占89.84%。</w:t>
      </w:r>
    </w:p>
    <w:p w14:paraId="7B4FE87C">
      <w:pPr>
        <w:spacing w:line="580" w:lineRule="exact"/>
        <w:ind w:firstLine="640"/>
        <w:jc w:val="both"/>
      </w:pPr>
      <w:r>
        <w:rPr>
          <w:rFonts w:ascii="仿宋_GB2312" w:hAnsi="仿宋_GB2312" w:eastAsia="仿宋_GB2312"/>
          <w:b w:val="0"/>
          <w:sz w:val="32"/>
        </w:rPr>
        <w:t>5.交通运输支出(类)200.00万元,占4.50%。</w:t>
      </w:r>
    </w:p>
    <w:p w14:paraId="751365C0">
      <w:pPr>
        <w:spacing w:line="580" w:lineRule="exact"/>
        <w:ind w:firstLine="640"/>
        <w:jc w:val="both"/>
      </w:pPr>
      <w:r>
        <w:rPr>
          <w:rFonts w:ascii="仿宋_GB2312" w:hAnsi="仿宋_GB2312" w:eastAsia="仿宋_GB2312"/>
          <w:b w:val="0"/>
          <w:sz w:val="32"/>
        </w:rPr>
        <w:t>6.住房保障支出(类)14.00万元,占0.31%。</w:t>
      </w:r>
    </w:p>
    <w:p w14:paraId="3E0ED082">
      <w:pPr>
        <w:spacing w:line="580" w:lineRule="exact"/>
        <w:ind w:firstLine="640"/>
        <w:jc w:val="both"/>
      </w:pPr>
      <w:r>
        <w:rPr>
          <w:rFonts w:ascii="仿宋_GB2312" w:hAnsi="仿宋_GB2312" w:eastAsia="仿宋_GB2312"/>
          <w:b w:val="0"/>
          <w:sz w:val="32"/>
        </w:rPr>
        <w:t>7.粮油物资储备支出(类)27.49万元,占0.62%。</w:t>
      </w:r>
    </w:p>
    <w:p w14:paraId="1EF7C06E">
      <w:pPr>
        <w:spacing w:line="640" w:lineRule="exact"/>
        <w:ind w:firstLine="640"/>
        <w:jc w:val="both"/>
        <w:outlineLvl w:val="3"/>
      </w:pPr>
      <w:r>
        <w:rPr>
          <w:rFonts w:ascii="楷体_GB2312" w:hAnsi="楷体_GB2312" w:eastAsia="楷体_GB2312"/>
          <w:b/>
          <w:sz w:val="32"/>
        </w:rPr>
        <w:t>（三）一般公共预算财政拨款支出决算具体情况</w:t>
      </w:r>
    </w:p>
    <w:p w14:paraId="38540D46">
      <w:pPr>
        <w:spacing w:line="580" w:lineRule="exact"/>
        <w:ind w:firstLine="640"/>
        <w:jc w:val="both"/>
      </w:pPr>
      <w:r>
        <w:rPr>
          <w:rFonts w:ascii="仿宋_GB2312" w:hAnsi="仿宋_GB2312" w:eastAsia="仿宋_GB2312"/>
          <w:b w:val="0"/>
          <w:sz w:val="32"/>
        </w:rPr>
        <w:t>1.一般公共服务支出(类)发展与改革事务(款)行政运行(项):支出决算数为159.82万元，比上年决算减少51.39万元，下降24.33%,主要原因是：本年在职人员减少，相应人员经费较上年减少。</w:t>
      </w:r>
    </w:p>
    <w:p w14:paraId="6E166463">
      <w:pPr>
        <w:spacing w:line="580" w:lineRule="exact"/>
        <w:ind w:firstLine="640"/>
        <w:jc w:val="both"/>
      </w:pPr>
      <w:r>
        <w:rPr>
          <w:rFonts w:ascii="仿宋_GB2312" w:hAnsi="仿宋_GB2312" w:eastAsia="仿宋_GB2312"/>
          <w:b w:val="0"/>
          <w:sz w:val="32"/>
        </w:rPr>
        <w:t>2.一般公共服务支出(类)发展与改革事务(款)其他发展与改革事务支出(项):支出决算数为1.10万元，比上年决算减少159.70万元，下降99.32%,主要原因是：本年减少自治区级预算内基建及重大项目前期费，导致相关经费减少。</w:t>
      </w:r>
    </w:p>
    <w:p w14:paraId="7EA9A42E">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12.46万元，比上年决算增加7.59万元，增长155.85%,主要原因是：本年退休人员增加，增加退休人员基础绩效奖，退休费支出增加。</w:t>
      </w:r>
    </w:p>
    <w:p w14:paraId="488DB872">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17.81万元，比上年决算增加1.56万元，增长9.60%,主要原因是：本年在职人员工资基数调增，养老缴费基数上涨，相应支出增加。</w:t>
      </w:r>
    </w:p>
    <w:p w14:paraId="2BB44A1A">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8.16万元，比上年决算减少13.01万元，下降61.45%,主要原因是：本年退休人员较上年减少，职业年金缴费较上年减少。</w:t>
      </w:r>
    </w:p>
    <w:p w14:paraId="5F052B81">
      <w:pPr>
        <w:spacing w:line="580" w:lineRule="exact"/>
        <w:ind w:firstLine="640"/>
        <w:jc w:val="both"/>
      </w:pPr>
      <w:r>
        <w:rPr>
          <w:rFonts w:ascii="仿宋_GB2312" w:hAnsi="仿宋_GB2312" w:eastAsia="仿宋_GB2312"/>
          <w:b w:val="0"/>
          <w:sz w:val="32"/>
        </w:rPr>
        <w:t>6.卫生健康支出(类)行政事业单位医疗(款)行政单位医疗(项):支出决算数为8.05万元，比上年决算减少0.85万元，下降9.55%,主要原因是：本年在职人员减少，行政单位医疗支出较上年减少。</w:t>
      </w:r>
    </w:p>
    <w:p w14:paraId="39E2CE54">
      <w:pPr>
        <w:spacing w:line="580" w:lineRule="exact"/>
        <w:ind w:firstLine="640"/>
        <w:jc w:val="both"/>
      </w:pPr>
      <w:r>
        <w:rPr>
          <w:rFonts w:ascii="仿宋_GB2312" w:hAnsi="仿宋_GB2312" w:eastAsia="仿宋_GB2312"/>
          <w:b w:val="0"/>
          <w:sz w:val="32"/>
        </w:rPr>
        <w:t>7.卫生健康支出(类)行政事业单位医疗(款)公务员医疗补助(项):支出决算数为2.55万元，比上年决算减少0.09万元，下降3.41%,主要原因是：本年在职人员减少，公务员医疗补助较上年减少。</w:t>
      </w:r>
    </w:p>
    <w:p w14:paraId="6543A43E">
      <w:pPr>
        <w:spacing w:line="580" w:lineRule="exact"/>
        <w:ind w:firstLine="640"/>
        <w:jc w:val="both"/>
      </w:pPr>
      <w:r>
        <w:rPr>
          <w:rFonts w:ascii="仿宋_GB2312" w:hAnsi="仿宋_GB2312" w:eastAsia="仿宋_GB2312"/>
          <w:b w:val="0"/>
          <w:sz w:val="32"/>
        </w:rPr>
        <w:t>8.农林水支出(类)目标价格补贴(款)棉花目标价格补贴(项):支出决算数为3,993.76万元，比上年决算减少8,230.45万元，下降67.33%,主要原因是：本年减少2022年棉花目标价格补贴项目经费，导致相关经费减少。</w:t>
      </w:r>
    </w:p>
    <w:p w14:paraId="72AEFE62">
      <w:pPr>
        <w:spacing w:line="580" w:lineRule="exact"/>
        <w:ind w:firstLine="640"/>
        <w:jc w:val="both"/>
      </w:pPr>
      <w:r>
        <w:rPr>
          <w:rFonts w:ascii="仿宋_GB2312" w:hAnsi="仿宋_GB2312" w:eastAsia="仿宋_GB2312"/>
          <w:b w:val="0"/>
          <w:sz w:val="32"/>
        </w:rPr>
        <w:t>9.交通运输支出(类)民用航空运输(款)机场建设(项):支出决算数为200.00万元，比上年决算增加200.00万元，增长100.00%,主要原因是：本年增加塔中镇机场建设前期费，导致相关经费增加。</w:t>
      </w:r>
    </w:p>
    <w:p w14:paraId="11E5A25A">
      <w:pPr>
        <w:spacing w:line="580" w:lineRule="exact"/>
        <w:ind w:firstLine="640"/>
        <w:jc w:val="both"/>
      </w:pPr>
      <w:r>
        <w:rPr>
          <w:rFonts w:ascii="仿宋_GB2312" w:hAnsi="仿宋_GB2312" w:eastAsia="仿宋_GB2312"/>
          <w:b w:val="0"/>
          <w:sz w:val="32"/>
        </w:rPr>
        <w:t>10.住房保障支出(类)住房改革支出(款)住房公积金(项):支出决算数为14.00万元，比上年决算增加1.45万元，增长11.55%,主要原因是：本年在职人员工资基数调增，公积金缴费基数上涨，相应支出增加。</w:t>
      </w:r>
    </w:p>
    <w:p w14:paraId="621CC4C4">
      <w:pPr>
        <w:spacing w:line="580" w:lineRule="exact"/>
        <w:ind w:firstLine="640"/>
        <w:jc w:val="both"/>
      </w:pPr>
      <w:r>
        <w:rPr>
          <w:rFonts w:ascii="仿宋_GB2312" w:hAnsi="仿宋_GB2312" w:eastAsia="仿宋_GB2312"/>
          <w:b w:val="0"/>
          <w:sz w:val="32"/>
        </w:rPr>
        <w:t>11.粮油物资储备支出(类)粮油物资事务(款)粮食风险基金(项):支出决算数为0.00万元，比上年决算减少98.00万元，下降100.00%,主要原因是：本年减少粮食风险基金经费，导致相关经费减少。</w:t>
      </w:r>
    </w:p>
    <w:p w14:paraId="7AD36DFB">
      <w:pPr>
        <w:spacing w:line="580" w:lineRule="exact"/>
        <w:ind w:firstLine="640"/>
        <w:jc w:val="both"/>
      </w:pPr>
      <w:r>
        <w:rPr>
          <w:rFonts w:ascii="仿宋_GB2312" w:hAnsi="仿宋_GB2312" w:eastAsia="仿宋_GB2312"/>
          <w:b w:val="0"/>
          <w:sz w:val="32"/>
        </w:rPr>
        <w:t>12.粮油物资储备支出(类)粮油储备(款)储备粮油补贴(项):支出决算数为27.49万元，比上年决算减少24.73万元，下降47.36%,主要原因是：本年减少2022年县级储备粮补贴款项目经费，导致相关经费减少。</w:t>
      </w:r>
    </w:p>
    <w:p w14:paraId="5B87686A">
      <w:pPr>
        <w:spacing w:line="580" w:lineRule="exact"/>
        <w:ind w:firstLine="640"/>
        <w:jc w:val="both"/>
      </w:pPr>
      <w:r>
        <w:rPr>
          <w:rFonts w:ascii="仿宋_GB2312" w:hAnsi="仿宋_GB2312" w:eastAsia="仿宋_GB2312"/>
          <w:b w:val="0"/>
          <w:sz w:val="32"/>
        </w:rPr>
        <w:t>13.粮油物资储备支出(类)粮油储备(款)储备粮（油）库建设(项):支出决算数为0.00万元，比上年决算减少60.00万元，下降100.00%,主要原因是：本年减少新建2022年粮食收储仓房建设项目经费，导致相关经费减少。</w:t>
      </w:r>
    </w:p>
    <w:p w14:paraId="07178FEB">
      <w:pPr>
        <w:spacing w:line="580" w:lineRule="exact"/>
        <w:ind w:firstLine="640"/>
        <w:jc w:val="both"/>
      </w:pPr>
      <w:r>
        <w:rPr>
          <w:rFonts w:ascii="仿宋_GB2312" w:hAnsi="仿宋_GB2312" w:eastAsia="仿宋_GB2312"/>
          <w:b w:val="0"/>
          <w:sz w:val="32"/>
        </w:rPr>
        <w:t>14.其他支出(类)其他支出(款)其他支出(项):支出决算数为0.00万元，比上年决算减少8.63万元，下降100.00%,主要原因是：本年减少为民办实事项目经费，导致相关经费减少。</w:t>
      </w:r>
    </w:p>
    <w:p w14:paraId="6DAE867A">
      <w:pPr>
        <w:spacing w:line="640" w:lineRule="exact"/>
        <w:ind w:firstLine="640"/>
        <w:jc w:val="both"/>
        <w:outlineLvl w:val="2"/>
      </w:pPr>
      <w:r>
        <w:rPr>
          <w:rFonts w:ascii="黑体" w:hAnsi="黑体" w:eastAsia="黑体"/>
          <w:sz w:val="32"/>
        </w:rPr>
        <w:t>六、一般公共预算财政拨款基本支出决算情况说明</w:t>
      </w:r>
    </w:p>
    <w:p w14:paraId="4C8CD678">
      <w:pPr>
        <w:spacing w:line="580" w:lineRule="exact"/>
        <w:ind w:firstLine="640"/>
        <w:jc w:val="both"/>
      </w:pPr>
      <w:r>
        <w:rPr>
          <w:rFonts w:ascii="仿宋_GB2312" w:hAnsi="仿宋_GB2312" w:eastAsia="仿宋_GB2312"/>
          <w:b w:val="0"/>
          <w:sz w:val="32"/>
        </w:rPr>
        <w:t>2024年度一般公共预算财政拨款基本支出223.94万元，其中：</w:t>
      </w:r>
      <w:r>
        <w:rPr>
          <w:rFonts w:ascii="仿宋_GB2312" w:hAnsi="仿宋_GB2312" w:eastAsia="仿宋_GB2312"/>
          <w:b/>
          <w:sz w:val="32"/>
        </w:rPr>
        <w:t>人员经费213.26万元，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包括：基本工资、津贴补贴、奖金、机关事业单位基本养老保险缴费、职业年金缴费、职工基本医疗保险缴费、公务员医疗补助缴费、其他社会保障缴费、住房公积金、退休费、抚恤金、生活补助、奖励金。</w:t>
      </w:r>
    </w:p>
    <w:p w14:paraId="2228DE77">
      <w:pPr>
        <w:spacing w:line="580" w:lineRule="exact"/>
        <w:ind w:firstLine="640"/>
        <w:jc w:val="both"/>
      </w:pPr>
      <w:r>
        <w:rPr>
          <w:rFonts w:ascii="仿宋_GB2312" w:hAnsi="仿宋_GB2312" w:eastAsia="仿宋_GB2312"/>
          <w:b/>
          <w:sz w:val="32"/>
        </w:rPr>
        <w:t>公用经费10.68万元，</w:t>
      </w:r>
      <w:r>
        <w:rPr>
          <w:rFonts w:ascii="仿宋_GB2312" w:hAnsi="仿宋_GB2312" w:eastAsia="仿宋_GB2312"/>
          <w:b w:val="0"/>
          <w:sz w:val="32"/>
        </w:rPr>
        <w:t>包括：办公费、手续费、水费、电费、邮电费、取暖费、租赁费、工会经费、公务用车运行维护费。</w:t>
      </w:r>
    </w:p>
    <w:p w14:paraId="529A6269">
      <w:pPr>
        <w:spacing w:line="640" w:lineRule="exact"/>
        <w:ind w:firstLine="640"/>
        <w:jc w:val="both"/>
        <w:outlineLvl w:val="2"/>
      </w:pPr>
      <w:r>
        <w:rPr>
          <w:rFonts w:ascii="黑体" w:hAnsi="黑体" w:eastAsia="黑体"/>
          <w:sz w:val="32"/>
        </w:rPr>
        <w:t>七、政府性基金预算财政拨款收入支出决算情况说明</w:t>
      </w:r>
    </w:p>
    <w:p w14:paraId="55F2FD84">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76345A4A">
      <w:pPr>
        <w:spacing w:line="640" w:lineRule="exact"/>
        <w:ind w:firstLine="640"/>
        <w:jc w:val="both"/>
        <w:outlineLvl w:val="2"/>
      </w:pPr>
      <w:r>
        <w:rPr>
          <w:rFonts w:ascii="黑体" w:hAnsi="黑体" w:eastAsia="黑体"/>
          <w:sz w:val="32"/>
        </w:rPr>
        <w:t>八、国有资本经营预算财政拨款收入支出决算情况说明</w:t>
      </w:r>
    </w:p>
    <w:p w14:paraId="08149F2C">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5AF6103A">
      <w:pPr>
        <w:spacing w:line="640" w:lineRule="exact"/>
        <w:ind w:firstLine="640"/>
        <w:jc w:val="both"/>
        <w:outlineLvl w:val="2"/>
      </w:pPr>
      <w:r>
        <w:rPr>
          <w:rFonts w:ascii="黑体" w:hAnsi="黑体" w:eastAsia="黑体"/>
          <w:sz w:val="32"/>
        </w:rPr>
        <w:t>九、财政拨款“三公”经费支出决算情况说明</w:t>
      </w:r>
    </w:p>
    <w:p w14:paraId="67133224">
      <w:pPr>
        <w:spacing w:line="580" w:lineRule="exact"/>
        <w:ind w:firstLine="640"/>
        <w:jc w:val="both"/>
      </w:pPr>
      <w:r>
        <w:rPr>
          <w:rFonts w:ascii="仿宋_GB2312" w:hAnsi="仿宋_GB2312" w:eastAsia="仿宋_GB2312"/>
          <w:b/>
          <w:sz w:val="32"/>
        </w:rPr>
        <w:t>2024年度财政拨款“三公”经费支出2.20万元，</w:t>
      </w:r>
      <w:r>
        <w:rPr>
          <w:rFonts w:ascii="仿宋_GB2312" w:hAnsi="仿宋_GB2312" w:eastAsia="仿宋_GB2312"/>
          <w:b w:val="0"/>
          <w:sz w:val="32"/>
        </w:rPr>
        <w:t>比上年增加0.72万元，增长48.65%，主要原因是：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2.20万元，占100.00%，比上年增加0.72万元，增长48.65%，主要原因是：公务用车日渐老化，维修维护成本增加，导致公务用车运行维护费较上年增加。公务接待费支出0.00万元，占0.00%，比上年增加0.00万元，增长0.00%，主要原因是：2023年与2024年均未安排公务接待费支出。</w:t>
      </w:r>
    </w:p>
    <w:p w14:paraId="2DABBA69">
      <w:pPr>
        <w:spacing w:line="580" w:lineRule="exact"/>
        <w:ind w:firstLine="640"/>
        <w:jc w:val="both"/>
      </w:pPr>
      <w:r>
        <w:rPr>
          <w:rFonts w:ascii="仿宋_GB2312" w:hAnsi="仿宋_GB2312" w:eastAsia="仿宋_GB2312"/>
          <w:b/>
          <w:sz w:val="32"/>
        </w:rPr>
        <w:t>具体情况如下：</w:t>
      </w:r>
    </w:p>
    <w:p w14:paraId="1C04A912">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076F3165">
      <w:pPr>
        <w:spacing w:line="580" w:lineRule="exact"/>
        <w:ind w:firstLine="640"/>
        <w:jc w:val="both"/>
      </w:pPr>
      <w:r>
        <w:rPr>
          <w:rFonts w:ascii="仿宋_GB2312" w:hAnsi="仿宋_GB2312" w:eastAsia="仿宋_GB2312"/>
          <w:b w:val="0"/>
          <w:sz w:val="32"/>
        </w:rPr>
        <w:t>公务用车购置及运行维护费2.20万元，其中：公务用车购置费0.00万元，公务用车运行维护费2.20万元。公务用车运行维护费开支内容包括车辆加油费、维修费、保险费、审车费、过路费等。公务用车购置数0辆，公务用车保有量1辆。国有资产占用情况中固定资产车辆1辆，与公务用车保有量差异原因是：本部门固定资产车辆与公务用车保有量一致无差异。</w:t>
      </w:r>
    </w:p>
    <w:p w14:paraId="27EFF4CE">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21A7384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2.20万元，决算数2.20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2.20万元，决算数2.20万元，预决算差异率0.00%，主要原因是：严格按照预算执行，预决算无差异。公务接待费全年预算数0.00万元，决算数0.00万元，预决算差异率0.00%，主要原因是：本部门无公务接待费。</w:t>
      </w:r>
    </w:p>
    <w:p w14:paraId="0385C078">
      <w:pPr>
        <w:spacing w:line="640" w:lineRule="exact"/>
        <w:ind w:firstLine="640"/>
        <w:jc w:val="both"/>
        <w:outlineLvl w:val="2"/>
      </w:pPr>
      <w:r>
        <w:rPr>
          <w:rFonts w:ascii="黑体" w:hAnsi="黑体" w:eastAsia="黑体"/>
          <w:sz w:val="32"/>
        </w:rPr>
        <w:t>十、其他重要事项的情况说明</w:t>
      </w:r>
    </w:p>
    <w:p w14:paraId="1A38A433">
      <w:pPr>
        <w:spacing w:line="640" w:lineRule="exact"/>
        <w:ind w:firstLine="640"/>
        <w:jc w:val="both"/>
        <w:outlineLvl w:val="3"/>
      </w:pPr>
      <w:r>
        <w:rPr>
          <w:rFonts w:ascii="楷体_GB2312" w:hAnsi="楷体_GB2312" w:eastAsia="楷体_GB2312"/>
          <w:b/>
          <w:sz w:val="32"/>
        </w:rPr>
        <w:t>（一）机关运行经费及公用经费支出情况</w:t>
      </w:r>
    </w:p>
    <w:p w14:paraId="20A737BE">
      <w:pPr>
        <w:spacing w:line="580" w:lineRule="exact"/>
        <w:ind w:firstLine="640"/>
        <w:jc w:val="both"/>
      </w:pPr>
      <w:r>
        <w:rPr>
          <w:rFonts w:ascii="仿宋_GB2312" w:hAnsi="仿宋_GB2312" w:eastAsia="仿宋_GB2312"/>
          <w:b w:val="0"/>
          <w:sz w:val="32"/>
        </w:rPr>
        <w:t>2024年度且末县发展和改革委员会本级（行政单位和参照公务员法管理事业单位）机关运行经费支出10.68万元，比上年减少104.71万元，下降90.74%，主要原因是：本年减少费用补贴等经费，导致机关运行经费减少。</w:t>
      </w:r>
    </w:p>
    <w:p w14:paraId="55E57AA6">
      <w:pPr>
        <w:spacing w:line="640" w:lineRule="exact"/>
        <w:ind w:firstLine="640"/>
        <w:jc w:val="both"/>
        <w:outlineLvl w:val="3"/>
      </w:pPr>
      <w:r>
        <w:rPr>
          <w:rFonts w:ascii="楷体_GB2312" w:hAnsi="楷体_GB2312" w:eastAsia="楷体_GB2312"/>
          <w:b/>
          <w:sz w:val="32"/>
        </w:rPr>
        <w:t>（二）政府采购情况</w:t>
      </w:r>
    </w:p>
    <w:p w14:paraId="2AC04ACD">
      <w:pPr>
        <w:spacing w:line="580" w:lineRule="exact"/>
        <w:ind w:firstLine="640"/>
        <w:jc w:val="both"/>
      </w:pPr>
      <w:r>
        <w:rPr>
          <w:rFonts w:ascii="仿宋_GB2312" w:hAnsi="仿宋_GB2312" w:eastAsia="仿宋_GB2312"/>
          <w:b w:val="0"/>
          <w:sz w:val="32"/>
        </w:rPr>
        <w:t>2024年度政府采购支出总额0.41万元，其中：政府采购货物支出0.00万元、政府采购工程支出0.00万元、政府采购服务支出0.41万元。</w:t>
      </w:r>
    </w:p>
    <w:p w14:paraId="014D7103">
      <w:pPr>
        <w:spacing w:line="580" w:lineRule="exact"/>
        <w:ind w:firstLine="640"/>
        <w:jc w:val="both"/>
      </w:pPr>
      <w:r>
        <w:rPr>
          <w:rFonts w:ascii="仿宋_GB2312" w:hAnsi="仿宋_GB2312" w:eastAsia="仿宋_GB2312"/>
          <w:b w:val="0"/>
          <w:sz w:val="32"/>
        </w:rPr>
        <w:t>授予中小企业合同金额0.41万元，占政府采购支出总额的100.00%，其中：授予小微企业合同金额0.20万元，占政府采购支出总额的48.78%。</w:t>
      </w:r>
    </w:p>
    <w:p w14:paraId="57963563">
      <w:pPr>
        <w:spacing w:line="640" w:lineRule="exact"/>
        <w:ind w:firstLine="640"/>
        <w:jc w:val="both"/>
        <w:outlineLvl w:val="3"/>
      </w:pPr>
      <w:r>
        <w:rPr>
          <w:rFonts w:ascii="楷体_GB2312" w:hAnsi="楷体_GB2312" w:eastAsia="楷体_GB2312"/>
          <w:b/>
          <w:sz w:val="32"/>
        </w:rPr>
        <w:t>（三）国有资产占用情况说明</w:t>
      </w:r>
    </w:p>
    <w:p w14:paraId="7E37BBD0">
      <w:pPr>
        <w:spacing w:line="580" w:lineRule="exact"/>
        <w:ind w:firstLine="640"/>
        <w:jc w:val="both"/>
      </w:pPr>
      <w:r>
        <w:rPr>
          <w:rFonts w:ascii="仿宋_GB2312" w:hAnsi="仿宋_GB2312" w:eastAsia="仿宋_GB2312"/>
          <w:b w:val="0"/>
          <w:sz w:val="32"/>
        </w:rPr>
        <w:t>截至2024年12月31日，房屋0.00平方米，价值0.00万元。车辆1辆，价值26.47万元，其中：副部（省）级及以上领导用车0辆、主要负责人用车1辆、机要通信用车0辆、应急保障用车0辆、执法执勤用车0辆、特种专业技术用车0辆、离退休干部服务用车0辆、其他用车0辆，其他用车主要是：本部门无其他用车。单价100万元（含）以上设备（不含车辆）0台（套）。</w:t>
      </w:r>
    </w:p>
    <w:p w14:paraId="08573853">
      <w:pPr>
        <w:spacing w:line="640" w:lineRule="exact"/>
        <w:ind w:firstLine="640"/>
        <w:jc w:val="both"/>
        <w:outlineLvl w:val="2"/>
      </w:pPr>
      <w:r>
        <w:rPr>
          <w:rFonts w:ascii="黑体" w:hAnsi="黑体" w:eastAsia="黑体"/>
          <w:sz w:val="32"/>
        </w:rPr>
        <w:t>十一、预算绩效的情况说明</w:t>
      </w:r>
    </w:p>
    <w:p w14:paraId="77A34A64">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4,445.26万元，实际执行总额4,445.26万元；预算绩效评价项目1个，全年预算数3,993.76万元，全年执行数3,993.76万元。预算绩效管理取得的成效：一是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发现的问题及原因：一是绩效预算认识不够充分，绩效理念有待进一步强化，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二是绩效档案归档工作有待提高，对档案工作重视程度不高，意识淡薄。单位人员对绩效档案管理工作重视程度不够，不注重关键时间节点材料的鉴定归档，造成绩效管理工作档案缺失；单位人员对档案管理工作缺少针对性和目的性，对绩效档案工作重要性的认识不足，缺乏熟练的业务知识，使绩效档案管理与实际业务存在一定偏差，未发挥其综合价值。下一步改进措施：一是加强培训，提高相关人员工作水平，采取多种培训形式对单位财务人员、业务科室人员进行集中培训，进一步树牢绩效观念，提高本部门工作人员的绩效管理能力和工作水平，为预算绩效管理相关工作的顺利开展提供保障；二是扎实推进档案规范化建设，提升档案管理水平，进一步完善项目评价资料。项目启动时同步做好档案的归纳与整理，及时整理、收集、汇总，健全档案资料。具体附部门整体支出绩效自评表，项目支出绩效自评表和部门评价报告。</w:t>
      </w:r>
    </w:p>
    <w:p w14:paraId="49F23467">
      <w:r>
        <w:br w:type="page"/>
      </w:r>
    </w:p>
    <w:tbl>
      <w:tblPr>
        <w:tblStyle w:val="9"/>
        <w:tblW w:w="9420" w:type="dxa"/>
        <w:tblInd w:w="0" w:type="dxa"/>
        <w:tblLayout w:type="autofit"/>
        <w:tblCellMar>
          <w:top w:w="0" w:type="dxa"/>
          <w:left w:w="108" w:type="dxa"/>
          <w:bottom w:w="0" w:type="dxa"/>
          <w:right w:w="108" w:type="dxa"/>
        </w:tblCellMar>
      </w:tblPr>
      <w:tblGrid>
        <w:gridCol w:w="1176"/>
        <w:gridCol w:w="1176"/>
        <w:gridCol w:w="1176"/>
        <w:gridCol w:w="1176"/>
        <w:gridCol w:w="1176"/>
        <w:gridCol w:w="1176"/>
        <w:gridCol w:w="1176"/>
        <w:gridCol w:w="1188"/>
      </w:tblGrid>
      <w:tr w14:paraId="3B23C068">
        <w:tblPrEx>
          <w:tblCellMar>
            <w:top w:w="0" w:type="dxa"/>
            <w:left w:w="108" w:type="dxa"/>
            <w:bottom w:w="0" w:type="dxa"/>
            <w:right w:w="108" w:type="dxa"/>
          </w:tblCellMar>
        </w:tblPrEx>
        <w:trPr>
          <w:trHeight w:val="140" w:hRule="atLeast"/>
        </w:trPr>
        <w:tc>
          <w:tcPr>
            <w:tcW w:w="9420" w:type="dxa"/>
            <w:gridSpan w:val="8"/>
            <w:vAlign w:val="center"/>
          </w:tcPr>
          <w:p w14:paraId="2E2A79FB">
            <w:pPr>
              <w:jc w:val="center"/>
            </w:pPr>
            <w:r>
              <w:rPr>
                <w:rFonts w:ascii="宋体" w:hAnsi="宋体" w:eastAsia="宋体"/>
                <w:sz w:val="24"/>
              </w:rPr>
              <w:t>部门整体支出绩效自评表</w:t>
            </w:r>
          </w:p>
        </w:tc>
      </w:tr>
      <w:tr w14:paraId="43FE515B">
        <w:tblPrEx>
          <w:tblCellMar>
            <w:top w:w="0" w:type="dxa"/>
            <w:left w:w="108" w:type="dxa"/>
            <w:bottom w:w="0" w:type="dxa"/>
            <w:right w:w="108" w:type="dxa"/>
          </w:tblCellMar>
        </w:tblPrEx>
        <w:trPr>
          <w:trHeight w:val="140" w:hRule="atLeast"/>
        </w:trPr>
        <w:tc>
          <w:tcPr>
            <w:tcW w:w="9420" w:type="dxa"/>
            <w:gridSpan w:val="8"/>
            <w:vAlign w:val="center"/>
          </w:tcPr>
          <w:p w14:paraId="55A00C0F">
            <w:pPr>
              <w:jc w:val="center"/>
            </w:pPr>
            <w:r>
              <w:rPr>
                <w:rFonts w:ascii="宋体" w:hAnsi="宋体" w:eastAsia="宋体"/>
                <w:sz w:val="24"/>
              </w:rPr>
              <w:t>（2024年度）</w:t>
            </w:r>
          </w:p>
        </w:tc>
      </w:tr>
      <w:tr w14:paraId="1436CBBF">
        <w:tblPrEx>
          <w:tblCellMar>
            <w:top w:w="0" w:type="dxa"/>
            <w:left w:w="108" w:type="dxa"/>
            <w:bottom w:w="0" w:type="dxa"/>
            <w:right w:w="108" w:type="dxa"/>
          </w:tblCellMar>
        </w:tblPrEx>
        <w:trPr>
          <w:trHeight w:val="151" w:hRule="atLeast"/>
        </w:trPr>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B3794E0">
            <w:pPr>
              <w:jc w:val="center"/>
            </w:pPr>
            <w:r>
              <w:rPr>
                <w:rFonts w:ascii="宋体" w:hAnsi="宋体" w:eastAsia="宋体"/>
                <w:sz w:val="16"/>
              </w:rPr>
              <w:t>部门名称</w:t>
            </w:r>
          </w:p>
        </w:tc>
        <w:tc>
          <w:tcPr>
            <w:tcW w:w="824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EA1795">
            <w:pPr>
              <w:jc w:val="center"/>
            </w:pPr>
            <w:r>
              <w:rPr>
                <w:rFonts w:ascii="宋体" w:hAnsi="宋体" w:eastAsia="宋体"/>
                <w:sz w:val="16"/>
              </w:rPr>
              <w:t>且末县发展和改革委员会本级</w:t>
            </w:r>
          </w:p>
        </w:tc>
      </w:tr>
      <w:tr w14:paraId="1B807ADA">
        <w:tblPrEx>
          <w:tblCellMar>
            <w:top w:w="0" w:type="dxa"/>
            <w:left w:w="108" w:type="dxa"/>
            <w:bottom w:w="0" w:type="dxa"/>
            <w:right w:w="108" w:type="dxa"/>
          </w:tblCellMar>
        </w:tblPrEx>
        <w:trPr>
          <w:trHeight w:val="151" w:hRule="atLeast"/>
        </w:trPr>
        <w:tc>
          <w:tcPr>
            <w:tcW w:w="117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E5DE13">
            <w:pPr>
              <w:jc w:val="center"/>
            </w:pPr>
            <w:r>
              <w:rPr>
                <w:rFonts w:ascii="宋体" w:hAnsi="宋体" w:eastAsia="宋体"/>
                <w:sz w:val="16"/>
              </w:rPr>
              <w:t>部门资金（万元）</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6A97436">
            <w:pPr>
              <w:jc w:val="center"/>
            </w:pPr>
            <w:r>
              <w:rPr>
                <w:rFonts w:ascii="宋体" w:hAnsi="宋体" w:eastAsia="宋体"/>
                <w:sz w:val="16"/>
              </w:rPr>
              <w:t>资金来源</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59D502DE">
            <w:pPr>
              <w:jc w:val="center"/>
            </w:pPr>
            <w:r>
              <w:rPr>
                <w:rFonts w:ascii="宋体" w:hAnsi="宋体" w:eastAsia="宋体"/>
                <w:sz w:val="16"/>
              </w:rPr>
              <w:t>年初预算数</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54123785">
            <w:pPr>
              <w:jc w:val="center"/>
            </w:pPr>
            <w:r>
              <w:rPr>
                <w:rFonts w:ascii="宋体" w:hAnsi="宋体" w:eastAsia="宋体"/>
                <w:sz w:val="16"/>
              </w:rPr>
              <w:t>全年预算数</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1A21A90">
            <w:pPr>
              <w:jc w:val="center"/>
            </w:pPr>
            <w:r>
              <w:rPr>
                <w:rFonts w:ascii="宋体" w:hAnsi="宋体" w:eastAsia="宋体"/>
                <w:sz w:val="16"/>
              </w:rPr>
              <w:t>全年执行数</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1C50140">
            <w:pPr>
              <w:jc w:val="center"/>
            </w:pPr>
            <w:r>
              <w:rPr>
                <w:rFonts w:ascii="宋体" w:hAnsi="宋体" w:eastAsia="宋体"/>
                <w:sz w:val="16"/>
              </w:rPr>
              <w:t>分值权重</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03084A37">
            <w:pPr>
              <w:jc w:val="center"/>
            </w:pPr>
            <w:r>
              <w:rPr>
                <w:rFonts w:ascii="宋体" w:hAnsi="宋体" w:eastAsia="宋体"/>
                <w:sz w:val="16"/>
              </w:rPr>
              <w:t>执行率</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16BE4143">
            <w:pPr>
              <w:jc w:val="center"/>
            </w:pPr>
            <w:r>
              <w:rPr>
                <w:rFonts w:ascii="宋体" w:hAnsi="宋体" w:eastAsia="宋体"/>
                <w:sz w:val="16"/>
              </w:rPr>
              <w:t>得分</w:t>
            </w:r>
          </w:p>
        </w:tc>
      </w:tr>
      <w:tr w14:paraId="62A4456B">
        <w:tblPrEx>
          <w:tblCellMar>
            <w:top w:w="0" w:type="dxa"/>
            <w:left w:w="108" w:type="dxa"/>
            <w:bottom w:w="0" w:type="dxa"/>
            <w:right w:w="108" w:type="dxa"/>
          </w:tblCellMar>
        </w:tblPrEx>
        <w:trPr>
          <w:trHeight w:val="151" w:hRule="atLeast"/>
        </w:trPr>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1CB1BDAF"/>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15807ADF">
            <w:pPr>
              <w:jc w:val="center"/>
            </w:pPr>
            <w:r>
              <w:rPr>
                <w:rFonts w:ascii="宋体" w:hAnsi="宋体" w:eastAsia="宋体"/>
                <w:sz w:val="16"/>
              </w:rPr>
              <w:t>年度总资金</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55193B8">
            <w:pPr>
              <w:jc w:val="center"/>
            </w:pPr>
            <w:r>
              <w:rPr>
                <w:rFonts w:ascii="宋体" w:hAnsi="宋体" w:eastAsia="宋体"/>
                <w:sz w:val="16"/>
              </w:rPr>
              <w:t>266.08</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16AA058D">
            <w:pPr>
              <w:jc w:val="center"/>
            </w:pPr>
            <w:r>
              <w:rPr>
                <w:rFonts w:ascii="宋体" w:hAnsi="宋体" w:eastAsia="宋体"/>
                <w:sz w:val="16"/>
              </w:rPr>
              <w:t>4,445.26</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5802988C">
            <w:pPr>
              <w:jc w:val="center"/>
            </w:pPr>
            <w:r>
              <w:rPr>
                <w:rFonts w:ascii="宋体" w:hAnsi="宋体" w:eastAsia="宋体"/>
                <w:sz w:val="16"/>
              </w:rPr>
              <w:t>4,445.26</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58769846">
            <w:pPr>
              <w:jc w:val="center"/>
            </w:pPr>
            <w:r>
              <w:rPr>
                <w:rFonts w:ascii="宋体" w:hAnsi="宋体" w:eastAsia="宋体"/>
                <w:sz w:val="16"/>
              </w:rPr>
              <w:t>10</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878ACBB">
            <w:pPr>
              <w:jc w:val="center"/>
            </w:pPr>
            <w:r>
              <w:rPr>
                <w:rFonts w:ascii="宋体" w:hAnsi="宋体" w:eastAsia="宋体"/>
                <w:sz w:val="16"/>
              </w:rPr>
              <w:t>100%</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55041FF6">
            <w:pPr>
              <w:jc w:val="center"/>
            </w:pPr>
            <w:r>
              <w:rPr>
                <w:rFonts w:ascii="宋体" w:hAnsi="宋体" w:eastAsia="宋体"/>
                <w:sz w:val="16"/>
              </w:rPr>
              <w:t>10</w:t>
            </w:r>
          </w:p>
        </w:tc>
      </w:tr>
      <w:tr w14:paraId="1E9C5743">
        <w:tblPrEx>
          <w:tblCellMar>
            <w:top w:w="0" w:type="dxa"/>
            <w:left w:w="108" w:type="dxa"/>
            <w:bottom w:w="0" w:type="dxa"/>
            <w:right w:w="108" w:type="dxa"/>
          </w:tblCellMar>
        </w:tblPrEx>
        <w:trPr>
          <w:trHeight w:val="291" w:hRule="atLeast"/>
        </w:trPr>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2B4C7FC5"/>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D67CF18">
            <w:pPr>
              <w:jc w:val="center"/>
            </w:pPr>
            <w:r>
              <w:rPr>
                <w:rFonts w:ascii="宋体" w:hAnsi="宋体" w:eastAsia="宋体"/>
                <w:sz w:val="16"/>
              </w:rPr>
              <w:t>其中:上级安排（万元）</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03B7374F">
            <w:pPr>
              <w:jc w:val="center"/>
            </w:pPr>
            <w:r>
              <w:rPr>
                <w:rFonts w:ascii="宋体" w:hAnsi="宋体" w:eastAsia="宋体"/>
                <w:sz w:val="16"/>
              </w:rPr>
              <w:t>0.00</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4533F012">
            <w:pPr>
              <w:jc w:val="center"/>
            </w:pPr>
            <w:r>
              <w:rPr>
                <w:rFonts w:ascii="宋体" w:hAnsi="宋体" w:eastAsia="宋体"/>
                <w:sz w:val="16"/>
              </w:rPr>
              <w:t>0.00</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199B2AD">
            <w:pPr>
              <w:jc w:val="center"/>
            </w:pPr>
            <w:r>
              <w:rPr>
                <w:rFonts w:ascii="宋体" w:hAnsi="宋体" w:eastAsia="宋体"/>
                <w:sz w:val="16"/>
              </w:rPr>
              <w:t>0.00</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5B0FDCE3">
            <w:pPr>
              <w:jc w:val="center"/>
            </w:pPr>
            <w:r>
              <w:rPr>
                <w:rFonts w:ascii="宋体" w:hAnsi="宋体" w:eastAsia="宋体"/>
                <w:sz w:val="16"/>
              </w:rPr>
              <w:t>-</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081B9F2">
            <w:pPr>
              <w:jc w:val="center"/>
            </w:pPr>
            <w:r>
              <w:rPr>
                <w:rFonts w:ascii="宋体" w:hAnsi="宋体" w:eastAsia="宋体"/>
                <w:sz w:val="16"/>
              </w:rPr>
              <w:t>-</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04172678">
            <w:pPr>
              <w:jc w:val="center"/>
            </w:pPr>
            <w:r>
              <w:rPr>
                <w:rFonts w:ascii="宋体" w:hAnsi="宋体" w:eastAsia="宋体"/>
                <w:sz w:val="16"/>
              </w:rPr>
              <w:t>-</w:t>
            </w:r>
          </w:p>
        </w:tc>
      </w:tr>
      <w:tr w14:paraId="09CE0EBC">
        <w:tblPrEx>
          <w:tblCellMar>
            <w:top w:w="0" w:type="dxa"/>
            <w:left w:w="108" w:type="dxa"/>
            <w:bottom w:w="0" w:type="dxa"/>
            <w:right w:w="108" w:type="dxa"/>
          </w:tblCellMar>
        </w:tblPrEx>
        <w:trPr>
          <w:trHeight w:val="291" w:hRule="atLeast"/>
        </w:trPr>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5CDFD0E1"/>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9C8B1DD">
            <w:pPr>
              <w:jc w:val="center"/>
            </w:pPr>
            <w:r>
              <w:rPr>
                <w:rFonts w:ascii="宋体" w:hAnsi="宋体" w:eastAsia="宋体"/>
                <w:sz w:val="16"/>
              </w:rPr>
              <w:t>本级安排（万元）</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87A7D57">
            <w:pPr>
              <w:jc w:val="center"/>
            </w:pPr>
            <w:r>
              <w:rPr>
                <w:rFonts w:ascii="宋体" w:hAnsi="宋体" w:eastAsia="宋体"/>
                <w:sz w:val="16"/>
              </w:rPr>
              <w:t>266.08</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47155A8F">
            <w:pPr>
              <w:jc w:val="center"/>
            </w:pPr>
            <w:r>
              <w:rPr>
                <w:rFonts w:ascii="宋体" w:hAnsi="宋体" w:eastAsia="宋体"/>
                <w:sz w:val="16"/>
              </w:rPr>
              <w:t>4,445.26</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D454554">
            <w:pPr>
              <w:jc w:val="center"/>
            </w:pPr>
            <w:r>
              <w:rPr>
                <w:rFonts w:ascii="宋体" w:hAnsi="宋体" w:eastAsia="宋体"/>
                <w:sz w:val="16"/>
              </w:rPr>
              <w:t>4,445.26</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7606339">
            <w:pPr>
              <w:jc w:val="center"/>
            </w:pPr>
            <w:r>
              <w:rPr>
                <w:rFonts w:ascii="宋体" w:hAnsi="宋体" w:eastAsia="宋体"/>
                <w:sz w:val="16"/>
              </w:rPr>
              <w:t>-</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475C15C6">
            <w:pPr>
              <w:jc w:val="center"/>
            </w:pPr>
            <w:r>
              <w:rPr>
                <w:rFonts w:ascii="宋体" w:hAnsi="宋体" w:eastAsia="宋体"/>
                <w:sz w:val="16"/>
              </w:rPr>
              <w:t>-</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2AD04771">
            <w:pPr>
              <w:jc w:val="center"/>
            </w:pPr>
            <w:r>
              <w:rPr>
                <w:rFonts w:ascii="宋体" w:hAnsi="宋体" w:eastAsia="宋体"/>
                <w:sz w:val="16"/>
              </w:rPr>
              <w:t>-</w:t>
            </w:r>
          </w:p>
        </w:tc>
      </w:tr>
      <w:tr w14:paraId="0BB93D93">
        <w:tblPrEx>
          <w:tblCellMar>
            <w:top w:w="0" w:type="dxa"/>
            <w:left w:w="108" w:type="dxa"/>
            <w:bottom w:w="0" w:type="dxa"/>
            <w:right w:w="108" w:type="dxa"/>
          </w:tblCellMar>
        </w:tblPrEx>
        <w:trPr>
          <w:trHeight w:val="291" w:hRule="atLeast"/>
        </w:trPr>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7156657F"/>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EA8022B">
            <w:pPr>
              <w:jc w:val="center"/>
            </w:pPr>
            <w:r>
              <w:rPr>
                <w:rFonts w:ascii="宋体" w:hAnsi="宋体" w:eastAsia="宋体"/>
                <w:sz w:val="16"/>
              </w:rPr>
              <w:t>其他资金（万元）</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0EA2F6E">
            <w:pPr>
              <w:jc w:val="center"/>
            </w:pPr>
            <w:r>
              <w:rPr>
                <w:rFonts w:ascii="宋体" w:hAnsi="宋体" w:eastAsia="宋体"/>
                <w:sz w:val="16"/>
              </w:rPr>
              <w:t>0.00</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82A12FF">
            <w:pPr>
              <w:jc w:val="center"/>
            </w:pPr>
            <w:r>
              <w:rPr>
                <w:rFonts w:ascii="宋体" w:hAnsi="宋体" w:eastAsia="宋体"/>
                <w:sz w:val="16"/>
              </w:rPr>
              <w:t>0.00</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ED942C1">
            <w:pPr>
              <w:jc w:val="center"/>
            </w:pPr>
            <w:r>
              <w:rPr>
                <w:rFonts w:ascii="宋体" w:hAnsi="宋体" w:eastAsia="宋体"/>
                <w:sz w:val="16"/>
              </w:rPr>
              <w:t>0.00</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1973B77">
            <w:pPr>
              <w:jc w:val="center"/>
            </w:pPr>
            <w:r>
              <w:rPr>
                <w:rFonts w:ascii="宋体" w:hAnsi="宋体" w:eastAsia="宋体"/>
                <w:sz w:val="16"/>
              </w:rPr>
              <w:t>-</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4566BBC">
            <w:pPr>
              <w:jc w:val="center"/>
            </w:pPr>
            <w:r>
              <w:rPr>
                <w:rFonts w:ascii="宋体" w:hAnsi="宋体" w:eastAsia="宋体"/>
                <w:sz w:val="16"/>
              </w:rPr>
              <w:t>-</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20EC1A23">
            <w:pPr>
              <w:jc w:val="center"/>
            </w:pPr>
            <w:r>
              <w:rPr>
                <w:rFonts w:ascii="宋体" w:hAnsi="宋体" w:eastAsia="宋体"/>
                <w:sz w:val="16"/>
              </w:rPr>
              <w:t>-</w:t>
            </w:r>
          </w:p>
        </w:tc>
      </w:tr>
      <w:tr w14:paraId="29333B25">
        <w:tblPrEx>
          <w:tblCellMar>
            <w:top w:w="0" w:type="dxa"/>
            <w:left w:w="108" w:type="dxa"/>
            <w:bottom w:w="0" w:type="dxa"/>
            <w:right w:w="108" w:type="dxa"/>
          </w:tblCellMar>
        </w:tblPrEx>
        <w:trPr>
          <w:trHeight w:val="151" w:hRule="atLeast"/>
        </w:trPr>
        <w:tc>
          <w:tcPr>
            <w:tcW w:w="117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E170C4">
            <w:pPr>
              <w:jc w:val="center"/>
            </w:pPr>
            <w:r>
              <w:rPr>
                <w:rFonts w:ascii="宋体" w:hAnsi="宋体" w:eastAsia="宋体"/>
                <w:sz w:val="16"/>
              </w:rPr>
              <w:t>年度总体目标</w:t>
            </w:r>
          </w:p>
        </w:tc>
        <w:tc>
          <w:tcPr>
            <w:tcW w:w="352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5E512B">
            <w:pPr>
              <w:jc w:val="center"/>
            </w:pPr>
            <w:r>
              <w:rPr>
                <w:rFonts w:ascii="宋体" w:hAnsi="宋体" w:eastAsia="宋体"/>
                <w:sz w:val="16"/>
              </w:rPr>
              <w:t>预期目标</w:t>
            </w:r>
          </w:p>
        </w:tc>
        <w:tc>
          <w:tcPr>
            <w:tcW w:w="471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112DA9">
            <w:pPr>
              <w:jc w:val="center"/>
            </w:pPr>
            <w:r>
              <w:rPr>
                <w:rFonts w:ascii="宋体" w:hAnsi="宋体" w:eastAsia="宋体"/>
                <w:sz w:val="16"/>
              </w:rPr>
              <w:t>实际完成情况</w:t>
            </w:r>
          </w:p>
        </w:tc>
      </w:tr>
      <w:tr w14:paraId="52F1703B">
        <w:tblPrEx>
          <w:tblCellMar>
            <w:top w:w="0" w:type="dxa"/>
            <w:left w:w="108" w:type="dxa"/>
            <w:bottom w:w="0" w:type="dxa"/>
            <w:right w:w="108" w:type="dxa"/>
          </w:tblCellMar>
        </w:tblPrEx>
        <w:trPr>
          <w:trHeight w:val="1687" w:hRule="atLeast"/>
        </w:trPr>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03C7DBEE"/>
        </w:tc>
        <w:tc>
          <w:tcPr>
            <w:tcW w:w="352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9B348B">
            <w:pPr>
              <w:jc w:val="both"/>
            </w:pPr>
            <w:r>
              <w:rPr>
                <w:rFonts w:ascii="宋体" w:hAnsi="宋体" w:eastAsia="宋体"/>
                <w:sz w:val="16"/>
              </w:rPr>
              <w:t>1、维护社会稳定和长治久安，完成“访汇聚”工作；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2、研究提出且末县全社会固定资产投资总规模和投资方向，规划重大项目和生产力布局；重点项目建设计划和前期项目计划；</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3、负责全县重大项目的管理和组织协调，负责县发展指挥部工作，开展粮食安全监管工作;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4、完成全县棉花价格补贴工作；</w:t>
            </w:r>
          </w:p>
        </w:tc>
        <w:tc>
          <w:tcPr>
            <w:tcW w:w="471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0E05D3">
            <w:pPr>
              <w:jc w:val="both"/>
            </w:pPr>
            <w:r>
              <w:rPr>
                <w:rFonts w:ascii="宋体" w:hAnsi="宋体" w:eastAsia="宋体"/>
                <w:sz w:val="16"/>
              </w:rPr>
              <w:t>且末县发展和改革委员会2024年年初预算数266.8万元，全年执行数4445.26万元。一是抓好项目储备已完成10个以上，项目申报、审批、备案已完成10个以上，物价价格监测综合调研报告数量完成2份，粮食安全监管检查考核次数达到8次，二是研究提出且末县全社会固定资产投资总规模和投资方向，规划重大项目和生产力布局；重点项目建设计划和前期项目计划；抓好全县项目储备，做好项目申报、审批、备案工作，三是负责全县重大项目的管理和组织协调，负责县发展指挥部工作，开展粮食安全监管工作，提高粮食安全监管检查考核次数，保障粮食安全、确保粮食生产的稳定</w:t>
            </w:r>
            <w:r>
              <w:rPr>
                <w:rFonts w:hint="eastAsia" w:ascii="宋体" w:hAnsi="宋体"/>
                <w:sz w:val="16"/>
                <w:lang w:eastAsia="zh-CN"/>
              </w:rPr>
              <w:t>性和</w:t>
            </w:r>
            <w:r>
              <w:rPr>
                <w:rFonts w:ascii="宋体" w:hAnsi="宋体" w:eastAsia="宋体"/>
                <w:sz w:val="16"/>
              </w:rPr>
              <w:t>可持续性;四是提高物价价格监测综合调研报告数量，物价价格监测综合调研维护宏观经济稳定、促进市场公平竞争、保护消费者利益。</w:t>
            </w:r>
          </w:p>
        </w:tc>
      </w:tr>
      <w:tr w14:paraId="56222061">
        <w:tblPrEx>
          <w:tblCellMar>
            <w:top w:w="0" w:type="dxa"/>
            <w:left w:w="108" w:type="dxa"/>
            <w:bottom w:w="0" w:type="dxa"/>
            <w:right w:w="108" w:type="dxa"/>
          </w:tblCellMar>
        </w:tblPrEx>
        <w:trPr>
          <w:trHeight w:val="291" w:hRule="atLeast"/>
        </w:trPr>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04BF57B">
            <w:pPr>
              <w:jc w:val="center"/>
            </w:pPr>
            <w:r>
              <w:rPr>
                <w:rFonts w:ascii="宋体" w:hAnsi="宋体" w:eastAsia="宋体"/>
                <w:sz w:val="16"/>
              </w:rPr>
              <w:t>一级指标</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7A3713C">
            <w:pPr>
              <w:jc w:val="center"/>
            </w:pPr>
            <w:r>
              <w:rPr>
                <w:rFonts w:ascii="宋体" w:hAnsi="宋体" w:eastAsia="宋体"/>
                <w:sz w:val="16"/>
              </w:rPr>
              <w:t>二级指标</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47B7344">
            <w:pPr>
              <w:jc w:val="center"/>
            </w:pPr>
            <w:r>
              <w:rPr>
                <w:rFonts w:ascii="宋体" w:hAnsi="宋体" w:eastAsia="宋体"/>
                <w:sz w:val="16"/>
              </w:rPr>
              <w:t>三级指标</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0979794">
            <w:pPr>
              <w:jc w:val="center"/>
            </w:pPr>
            <w:r>
              <w:rPr>
                <w:rFonts w:ascii="宋体" w:hAnsi="宋体" w:eastAsia="宋体"/>
                <w:sz w:val="16"/>
              </w:rPr>
              <w:t>预期指标值</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EFE1684">
            <w:pPr>
              <w:jc w:val="center"/>
            </w:pPr>
            <w:r>
              <w:rPr>
                <w:rFonts w:ascii="宋体" w:hAnsi="宋体" w:eastAsia="宋体"/>
                <w:sz w:val="16"/>
              </w:rPr>
              <w:t>指标值设定依据</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49365B78">
            <w:pPr>
              <w:jc w:val="center"/>
            </w:pPr>
            <w:r>
              <w:rPr>
                <w:rFonts w:ascii="宋体" w:hAnsi="宋体" w:eastAsia="宋体"/>
                <w:sz w:val="16"/>
              </w:rPr>
              <w:t>分值权重</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F2BE5E1">
            <w:pPr>
              <w:jc w:val="center"/>
            </w:pPr>
            <w:r>
              <w:rPr>
                <w:rFonts w:ascii="宋体" w:hAnsi="宋体" w:eastAsia="宋体"/>
                <w:sz w:val="16"/>
              </w:rPr>
              <w:t>实际完成指标值</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51BB684B">
            <w:pPr>
              <w:jc w:val="center"/>
            </w:pPr>
            <w:r>
              <w:rPr>
                <w:rFonts w:ascii="宋体" w:hAnsi="宋体" w:eastAsia="宋体"/>
                <w:sz w:val="16"/>
              </w:rPr>
              <w:t>得分</w:t>
            </w:r>
          </w:p>
        </w:tc>
      </w:tr>
      <w:tr w14:paraId="27D450B9">
        <w:tblPrEx>
          <w:tblCellMar>
            <w:top w:w="0" w:type="dxa"/>
            <w:left w:w="108" w:type="dxa"/>
            <w:bottom w:w="0" w:type="dxa"/>
            <w:right w:w="108" w:type="dxa"/>
          </w:tblCellMar>
        </w:tblPrEx>
        <w:trPr>
          <w:trHeight w:val="291" w:hRule="atLeast"/>
        </w:trPr>
        <w:tc>
          <w:tcPr>
            <w:tcW w:w="117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62A3BE">
            <w:pPr>
              <w:jc w:val="center"/>
            </w:pPr>
            <w:r>
              <w:rPr>
                <w:rFonts w:ascii="宋体" w:hAnsi="宋体" w:eastAsia="宋体"/>
                <w:sz w:val="16"/>
              </w:rPr>
              <w:t>履职效能</w:t>
            </w:r>
          </w:p>
        </w:tc>
        <w:tc>
          <w:tcPr>
            <w:tcW w:w="117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A61AB8">
            <w:pPr>
              <w:jc w:val="center"/>
            </w:pPr>
            <w:r>
              <w:rPr>
                <w:rFonts w:ascii="宋体" w:hAnsi="宋体" w:eastAsia="宋体"/>
                <w:sz w:val="16"/>
              </w:rPr>
              <w:t>数量指标</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4F4AF9F2">
            <w:pPr>
              <w:jc w:val="center"/>
            </w:pPr>
            <w:r>
              <w:rPr>
                <w:rFonts w:ascii="宋体" w:hAnsi="宋体" w:eastAsia="宋体"/>
                <w:sz w:val="16"/>
              </w:rPr>
              <w:t>抓好项目储备</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FEA100E">
            <w:pPr>
              <w:jc w:val="center"/>
            </w:pPr>
            <w:r>
              <w:rPr>
                <w:rFonts w:ascii="宋体" w:hAnsi="宋体" w:eastAsia="宋体"/>
                <w:sz w:val="16"/>
              </w:rPr>
              <w:t>&gt;=10个</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B1ADE57">
            <w:pPr>
              <w:jc w:val="center"/>
            </w:pPr>
            <w:r>
              <w:rPr>
                <w:rFonts w:ascii="宋体" w:hAnsi="宋体" w:eastAsia="宋体"/>
                <w:sz w:val="16"/>
              </w:rPr>
              <w:t>发改工作报告</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1A0AF1DA">
            <w:pPr>
              <w:jc w:val="center"/>
            </w:pPr>
            <w:r>
              <w:rPr>
                <w:rFonts w:ascii="宋体" w:hAnsi="宋体" w:eastAsia="宋体"/>
                <w:sz w:val="16"/>
              </w:rPr>
              <w:t>16</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23612AB">
            <w:pPr>
              <w:jc w:val="center"/>
            </w:pPr>
            <w:r>
              <w:rPr>
                <w:rFonts w:ascii="宋体" w:hAnsi="宋体" w:eastAsia="宋体"/>
                <w:sz w:val="16"/>
              </w:rPr>
              <w:t>10个</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6998583C">
            <w:pPr>
              <w:jc w:val="center"/>
            </w:pPr>
            <w:r>
              <w:rPr>
                <w:rFonts w:ascii="宋体" w:hAnsi="宋体" w:eastAsia="宋体"/>
                <w:sz w:val="16"/>
              </w:rPr>
              <w:t>16</w:t>
            </w:r>
          </w:p>
        </w:tc>
      </w:tr>
      <w:tr w14:paraId="55FCB5BB">
        <w:tblPrEx>
          <w:tblCellMar>
            <w:top w:w="0" w:type="dxa"/>
            <w:left w:w="108" w:type="dxa"/>
            <w:bottom w:w="0" w:type="dxa"/>
            <w:right w:w="108" w:type="dxa"/>
          </w:tblCellMar>
        </w:tblPrEx>
        <w:trPr>
          <w:trHeight w:val="291" w:hRule="atLeast"/>
        </w:trPr>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3370CFA4"/>
        </w:tc>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5DBC172A"/>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A7B1A9F">
            <w:pPr>
              <w:jc w:val="center"/>
            </w:pPr>
            <w:r>
              <w:rPr>
                <w:rFonts w:ascii="宋体" w:hAnsi="宋体" w:eastAsia="宋体"/>
                <w:sz w:val="16"/>
              </w:rPr>
              <w:t>固定资产投资增长</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D84753F">
            <w:pPr>
              <w:jc w:val="center"/>
            </w:pPr>
            <w:r>
              <w:rPr>
                <w:rFonts w:ascii="宋体" w:hAnsi="宋体" w:eastAsia="宋体"/>
                <w:sz w:val="16"/>
              </w:rPr>
              <w:t>&gt;=9%</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C7237D9">
            <w:pPr>
              <w:jc w:val="center"/>
            </w:pPr>
            <w:r>
              <w:rPr>
                <w:rFonts w:ascii="宋体" w:hAnsi="宋体" w:eastAsia="宋体"/>
                <w:sz w:val="16"/>
              </w:rPr>
              <w:t>国民经济报告</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568B8D0">
            <w:pPr>
              <w:jc w:val="center"/>
            </w:pPr>
            <w:r>
              <w:rPr>
                <w:rFonts w:ascii="宋体" w:hAnsi="宋体" w:eastAsia="宋体"/>
                <w:sz w:val="16"/>
              </w:rPr>
              <w:t>16</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4AB1A44">
            <w:pPr>
              <w:jc w:val="center"/>
            </w:pPr>
            <w:r>
              <w:rPr>
                <w:rFonts w:ascii="宋体" w:hAnsi="宋体" w:eastAsia="宋体"/>
                <w:sz w:val="16"/>
              </w:rPr>
              <w:t>6%</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3454A5CE">
            <w:pPr>
              <w:jc w:val="center"/>
            </w:pPr>
            <w:r>
              <w:rPr>
                <w:rFonts w:ascii="宋体" w:hAnsi="宋体" w:eastAsia="宋体"/>
                <w:sz w:val="16"/>
              </w:rPr>
              <w:t>10</w:t>
            </w:r>
          </w:p>
        </w:tc>
      </w:tr>
      <w:tr w14:paraId="5EDE23C1">
        <w:tblPrEx>
          <w:tblCellMar>
            <w:top w:w="0" w:type="dxa"/>
            <w:left w:w="108" w:type="dxa"/>
            <w:bottom w:w="0" w:type="dxa"/>
            <w:right w:w="108" w:type="dxa"/>
          </w:tblCellMar>
        </w:tblPrEx>
        <w:trPr>
          <w:trHeight w:val="291" w:hRule="atLeast"/>
        </w:trPr>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3305C417"/>
        </w:tc>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43983FAB"/>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015C660">
            <w:pPr>
              <w:jc w:val="center"/>
            </w:pPr>
            <w:r>
              <w:rPr>
                <w:rFonts w:ascii="宋体" w:hAnsi="宋体" w:eastAsia="宋体"/>
                <w:sz w:val="16"/>
              </w:rPr>
              <w:t>项目申报、审批、备案</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1EB11E1D">
            <w:pPr>
              <w:jc w:val="center"/>
            </w:pPr>
            <w:r>
              <w:rPr>
                <w:rFonts w:ascii="宋体" w:hAnsi="宋体" w:eastAsia="宋体"/>
                <w:sz w:val="16"/>
              </w:rPr>
              <w:t>&gt;=10份</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1751189F">
            <w:pPr>
              <w:jc w:val="center"/>
            </w:pPr>
            <w:r>
              <w:rPr>
                <w:rFonts w:ascii="宋体" w:hAnsi="宋体" w:eastAsia="宋体"/>
                <w:sz w:val="16"/>
              </w:rPr>
              <w:t>发改工作报告</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4FED2031">
            <w:pPr>
              <w:jc w:val="center"/>
            </w:pPr>
            <w:r>
              <w:rPr>
                <w:rFonts w:ascii="宋体" w:hAnsi="宋体" w:eastAsia="宋体"/>
                <w:sz w:val="16"/>
              </w:rPr>
              <w:t>16</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9686887">
            <w:pPr>
              <w:jc w:val="center"/>
            </w:pPr>
            <w:r>
              <w:rPr>
                <w:rFonts w:ascii="宋体" w:hAnsi="宋体" w:eastAsia="宋体"/>
                <w:sz w:val="16"/>
              </w:rPr>
              <w:t>10份</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733B3225">
            <w:pPr>
              <w:jc w:val="center"/>
            </w:pPr>
            <w:r>
              <w:rPr>
                <w:rFonts w:ascii="宋体" w:hAnsi="宋体" w:eastAsia="宋体"/>
                <w:sz w:val="16"/>
              </w:rPr>
              <w:t>16</w:t>
            </w:r>
          </w:p>
        </w:tc>
      </w:tr>
      <w:tr w14:paraId="7886BACD">
        <w:tblPrEx>
          <w:tblCellMar>
            <w:top w:w="0" w:type="dxa"/>
            <w:left w:w="108" w:type="dxa"/>
            <w:bottom w:w="0" w:type="dxa"/>
            <w:right w:w="108" w:type="dxa"/>
          </w:tblCellMar>
        </w:tblPrEx>
        <w:trPr>
          <w:trHeight w:val="431" w:hRule="atLeast"/>
        </w:trPr>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21678531"/>
        </w:tc>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3478DA35"/>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B546A93">
            <w:pPr>
              <w:jc w:val="center"/>
            </w:pPr>
            <w:r>
              <w:rPr>
                <w:rFonts w:ascii="宋体" w:hAnsi="宋体" w:eastAsia="宋体"/>
                <w:sz w:val="16"/>
              </w:rPr>
              <w:t>物价价格监测综合调研报告数量</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640BB27">
            <w:pPr>
              <w:jc w:val="center"/>
            </w:pPr>
            <w:r>
              <w:rPr>
                <w:rFonts w:ascii="宋体" w:hAnsi="宋体" w:eastAsia="宋体"/>
                <w:sz w:val="16"/>
              </w:rPr>
              <w:t>&gt;=2份</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9C5C90E">
            <w:pPr>
              <w:jc w:val="center"/>
            </w:pPr>
            <w:r>
              <w:rPr>
                <w:rFonts w:ascii="宋体" w:hAnsi="宋体" w:eastAsia="宋体"/>
                <w:sz w:val="16"/>
              </w:rPr>
              <w:t>发改工作报告</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C4A70E2">
            <w:pPr>
              <w:jc w:val="center"/>
            </w:pPr>
            <w:r>
              <w:rPr>
                <w:rFonts w:ascii="宋体" w:hAnsi="宋体" w:eastAsia="宋体"/>
                <w:sz w:val="16"/>
              </w:rPr>
              <w:t>16</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8CE70C8">
            <w:pPr>
              <w:jc w:val="center"/>
            </w:pPr>
            <w:r>
              <w:rPr>
                <w:rFonts w:ascii="宋体" w:hAnsi="宋体" w:eastAsia="宋体"/>
                <w:sz w:val="16"/>
              </w:rPr>
              <w:t>2份</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0E1BA46A">
            <w:pPr>
              <w:jc w:val="center"/>
            </w:pPr>
            <w:r>
              <w:rPr>
                <w:rFonts w:ascii="宋体" w:hAnsi="宋体" w:eastAsia="宋体"/>
                <w:sz w:val="16"/>
              </w:rPr>
              <w:t>16</w:t>
            </w:r>
          </w:p>
        </w:tc>
      </w:tr>
      <w:tr w14:paraId="3BEA83D2">
        <w:tblPrEx>
          <w:tblCellMar>
            <w:top w:w="0" w:type="dxa"/>
            <w:left w:w="108" w:type="dxa"/>
            <w:bottom w:w="0" w:type="dxa"/>
            <w:right w:w="108" w:type="dxa"/>
          </w:tblCellMar>
        </w:tblPrEx>
        <w:trPr>
          <w:trHeight w:val="431" w:hRule="atLeast"/>
        </w:trPr>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0AE47979"/>
        </w:tc>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3C44F515"/>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51E57E5">
            <w:pPr>
              <w:jc w:val="center"/>
            </w:pPr>
            <w:r>
              <w:rPr>
                <w:rFonts w:ascii="宋体" w:hAnsi="宋体" w:eastAsia="宋体"/>
                <w:sz w:val="16"/>
              </w:rPr>
              <w:t>粮食安全监管检查考核次数</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5977694">
            <w:pPr>
              <w:jc w:val="center"/>
            </w:pPr>
            <w:r>
              <w:rPr>
                <w:rFonts w:ascii="宋体" w:hAnsi="宋体" w:eastAsia="宋体"/>
                <w:sz w:val="16"/>
              </w:rPr>
              <w:t>&gt;=8次</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15DCC2E">
            <w:pPr>
              <w:jc w:val="center"/>
            </w:pPr>
            <w:r>
              <w:rPr>
                <w:rFonts w:ascii="宋体" w:hAnsi="宋体" w:eastAsia="宋体"/>
                <w:sz w:val="16"/>
              </w:rPr>
              <w:t>粮食工作安全要求</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51DC700E">
            <w:pPr>
              <w:jc w:val="center"/>
            </w:pPr>
            <w:r>
              <w:rPr>
                <w:rFonts w:ascii="宋体" w:hAnsi="宋体" w:eastAsia="宋体"/>
                <w:sz w:val="16"/>
              </w:rPr>
              <w:t>16</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74630D07">
            <w:pPr>
              <w:jc w:val="center"/>
            </w:pPr>
            <w:r>
              <w:rPr>
                <w:rFonts w:ascii="宋体" w:hAnsi="宋体" w:eastAsia="宋体"/>
                <w:sz w:val="16"/>
              </w:rPr>
              <w:t>8次</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4CF63E40">
            <w:pPr>
              <w:jc w:val="center"/>
            </w:pPr>
            <w:r>
              <w:rPr>
                <w:rFonts w:ascii="宋体" w:hAnsi="宋体" w:eastAsia="宋体"/>
                <w:sz w:val="16"/>
              </w:rPr>
              <w:t>16</w:t>
            </w:r>
          </w:p>
        </w:tc>
      </w:tr>
      <w:tr w14:paraId="1A5A1658">
        <w:tblPrEx>
          <w:tblCellMar>
            <w:top w:w="0" w:type="dxa"/>
            <w:left w:w="108" w:type="dxa"/>
            <w:bottom w:w="0" w:type="dxa"/>
            <w:right w:w="108" w:type="dxa"/>
          </w:tblCellMar>
        </w:tblPrEx>
        <w:trPr>
          <w:trHeight w:val="162" w:hRule="atLeast"/>
        </w:trPr>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2528976">
            <w:pPr>
              <w:jc w:val="center"/>
            </w:pPr>
            <w:r>
              <w:rPr>
                <w:rFonts w:ascii="宋体" w:hAnsi="宋体" w:eastAsia="宋体"/>
                <w:sz w:val="16"/>
              </w:rPr>
              <w:t>服务对象满意度</w:t>
            </w:r>
          </w:p>
        </w:tc>
        <w:tc>
          <w:tcPr>
            <w:tcW w:w="1176" w:type="dxa"/>
            <w:vMerge w:val="continue"/>
            <w:tcBorders>
              <w:top w:val="single" w:color="auto" w:sz="10" w:space="0"/>
              <w:left w:val="single" w:color="auto" w:sz="10" w:space="0"/>
              <w:bottom w:val="single" w:color="auto" w:sz="10" w:space="0"/>
              <w:right w:val="single" w:color="auto" w:sz="10" w:space="0"/>
              <w:insideV w:val="single" w:sz="10" w:space="0"/>
            </w:tcBorders>
          </w:tcPr>
          <w:p w14:paraId="1E5D9739"/>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641C06C5">
            <w:pPr>
              <w:jc w:val="center"/>
            </w:pPr>
            <w:r>
              <w:rPr>
                <w:rFonts w:ascii="宋体" w:hAnsi="宋体" w:eastAsia="宋体"/>
                <w:sz w:val="16"/>
              </w:rPr>
              <w:t>群众满意度</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3BEB3DB4">
            <w:pPr>
              <w:jc w:val="center"/>
            </w:pPr>
            <w:r>
              <w:rPr>
                <w:rFonts w:ascii="宋体" w:hAnsi="宋体" w:eastAsia="宋体"/>
                <w:sz w:val="16"/>
              </w:rPr>
              <w:t>&gt;=95%</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19A6A48F">
            <w:pPr>
              <w:jc w:val="center"/>
            </w:pPr>
            <w:r>
              <w:rPr>
                <w:rFonts w:ascii="宋体" w:hAnsi="宋体" w:eastAsia="宋体"/>
                <w:sz w:val="16"/>
              </w:rPr>
              <w:t>发改工作报告</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5B24B1D4">
            <w:pPr>
              <w:jc w:val="center"/>
            </w:pPr>
            <w:r>
              <w:rPr>
                <w:rFonts w:ascii="宋体" w:hAnsi="宋体" w:eastAsia="宋体"/>
                <w:sz w:val="16"/>
              </w:rPr>
              <w:t>10</w:t>
            </w:r>
          </w:p>
        </w:tc>
        <w:tc>
          <w:tcPr>
            <w:tcW w:w="1176" w:type="dxa"/>
            <w:tcBorders>
              <w:top w:val="single" w:color="auto" w:sz="10" w:space="0"/>
              <w:left w:val="single" w:color="auto" w:sz="10" w:space="0"/>
              <w:bottom w:val="single" w:color="auto" w:sz="10" w:space="0"/>
              <w:right w:val="single" w:color="auto" w:sz="10" w:space="0"/>
              <w:insideV w:val="single" w:sz="10" w:space="0"/>
            </w:tcBorders>
            <w:vAlign w:val="center"/>
          </w:tcPr>
          <w:p w14:paraId="22BACFE6">
            <w:pPr>
              <w:jc w:val="center"/>
            </w:pPr>
            <w:r>
              <w:rPr>
                <w:rFonts w:ascii="宋体" w:hAnsi="宋体" w:eastAsia="宋体"/>
                <w:sz w:val="16"/>
              </w:rPr>
              <w:t>95%</w:t>
            </w:r>
          </w:p>
        </w:tc>
        <w:tc>
          <w:tcPr>
            <w:tcW w:w="1188" w:type="dxa"/>
            <w:tcBorders>
              <w:top w:val="single" w:color="auto" w:sz="10" w:space="0"/>
              <w:left w:val="single" w:color="auto" w:sz="10" w:space="0"/>
              <w:bottom w:val="single" w:color="auto" w:sz="10" w:space="0"/>
              <w:right w:val="single" w:color="auto" w:sz="10" w:space="0"/>
              <w:insideV w:val="single" w:sz="10" w:space="0"/>
            </w:tcBorders>
            <w:vAlign w:val="center"/>
          </w:tcPr>
          <w:p w14:paraId="18B66F47">
            <w:pPr>
              <w:jc w:val="center"/>
            </w:pPr>
            <w:r>
              <w:rPr>
                <w:rFonts w:ascii="宋体" w:hAnsi="宋体" w:eastAsia="宋体"/>
                <w:sz w:val="16"/>
              </w:rPr>
              <w:t>10</w:t>
            </w:r>
          </w:p>
        </w:tc>
      </w:tr>
    </w:tbl>
    <w:p w14:paraId="12DC5B8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502391D1">
        <w:tblPrEx>
          <w:tblCellMar>
            <w:top w:w="0" w:type="dxa"/>
            <w:left w:w="108" w:type="dxa"/>
            <w:bottom w:w="0" w:type="dxa"/>
            <w:right w:w="108" w:type="dxa"/>
          </w:tblCellMar>
        </w:tblPrEx>
        <w:tc>
          <w:tcPr>
            <w:tcW w:w="8848" w:type="dxa"/>
            <w:gridSpan w:val="14"/>
            <w:vAlign w:val="center"/>
          </w:tcPr>
          <w:p w14:paraId="1C97E99F">
            <w:pPr>
              <w:jc w:val="center"/>
            </w:pPr>
            <w:r>
              <w:rPr>
                <w:rFonts w:ascii="宋体" w:hAnsi="宋体" w:eastAsia="宋体"/>
                <w:sz w:val="24"/>
              </w:rPr>
              <w:t>项目支出绩效自评表</w:t>
            </w:r>
          </w:p>
        </w:tc>
      </w:tr>
      <w:tr w14:paraId="4CEFEBB3">
        <w:tblPrEx>
          <w:tblCellMar>
            <w:top w:w="0" w:type="dxa"/>
            <w:left w:w="108" w:type="dxa"/>
            <w:bottom w:w="0" w:type="dxa"/>
            <w:right w:w="108" w:type="dxa"/>
          </w:tblCellMar>
        </w:tblPrEx>
        <w:tc>
          <w:tcPr>
            <w:tcW w:w="8848" w:type="dxa"/>
            <w:gridSpan w:val="14"/>
            <w:vAlign w:val="center"/>
          </w:tcPr>
          <w:p w14:paraId="556CF1F5">
            <w:pPr>
              <w:jc w:val="center"/>
            </w:pPr>
            <w:r>
              <w:rPr>
                <w:rFonts w:ascii="宋体" w:hAnsi="宋体" w:eastAsia="宋体"/>
                <w:sz w:val="24"/>
              </w:rPr>
              <w:t>(2024年度)</w:t>
            </w:r>
          </w:p>
        </w:tc>
      </w:tr>
      <w:tr w14:paraId="5BFF02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0A82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E65690">
            <w:pPr>
              <w:jc w:val="center"/>
            </w:pPr>
            <w:r>
              <w:rPr>
                <w:rFonts w:ascii="宋体" w:hAnsi="宋体" w:eastAsia="宋体"/>
                <w:sz w:val="16"/>
              </w:rPr>
              <w:t>目标价格补贴（棉花）</w:t>
            </w:r>
          </w:p>
        </w:tc>
      </w:tr>
      <w:tr w14:paraId="547651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D9F3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960AE9">
            <w:pPr>
              <w:jc w:val="center"/>
            </w:pPr>
            <w:r>
              <w:rPr>
                <w:rFonts w:ascii="宋体" w:hAnsi="宋体" w:eastAsia="宋体"/>
                <w:sz w:val="16"/>
              </w:rPr>
              <w:t>且末县发展和改革委员会本级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B10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FBC331">
            <w:pPr>
              <w:jc w:val="center"/>
            </w:pPr>
            <w:r>
              <w:rPr>
                <w:rFonts w:ascii="宋体" w:hAnsi="宋体" w:eastAsia="宋体"/>
                <w:sz w:val="16"/>
              </w:rPr>
              <w:t>且末县发展和改革委员会本级</w:t>
            </w:r>
          </w:p>
        </w:tc>
      </w:tr>
      <w:tr w14:paraId="4EBF68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E4E22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F11B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225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B7D8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551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A13D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F69B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A4AA1">
            <w:pPr>
              <w:jc w:val="center"/>
            </w:pPr>
            <w:r>
              <w:rPr>
                <w:rFonts w:ascii="宋体" w:hAnsi="宋体" w:eastAsia="宋体"/>
                <w:sz w:val="16"/>
              </w:rPr>
              <w:t>得分</w:t>
            </w:r>
          </w:p>
        </w:tc>
      </w:tr>
      <w:tr w14:paraId="435F27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8AC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4A7C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D83D2">
            <w:pPr>
              <w:jc w:val="center"/>
            </w:pPr>
            <w:r>
              <w:rPr>
                <w:rFonts w:ascii="宋体" w:hAnsi="宋体" w:eastAsia="宋体"/>
                <w:sz w:val="16"/>
              </w:rPr>
              <w:t>3,993.76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BC925">
            <w:pPr>
              <w:jc w:val="center"/>
            </w:pPr>
            <w:r>
              <w:rPr>
                <w:rFonts w:ascii="宋体" w:hAnsi="宋体" w:eastAsia="宋体"/>
                <w:sz w:val="16"/>
              </w:rPr>
              <w:t>3,993.76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0EDD2">
            <w:pPr>
              <w:jc w:val="center"/>
            </w:pPr>
            <w:r>
              <w:rPr>
                <w:rFonts w:ascii="宋体" w:hAnsi="宋体" w:eastAsia="宋体"/>
                <w:sz w:val="16"/>
              </w:rPr>
              <w:t>3,993.76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4B1D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4831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14E4">
            <w:pPr>
              <w:jc w:val="center"/>
            </w:pPr>
            <w:r>
              <w:rPr>
                <w:rFonts w:ascii="宋体" w:hAnsi="宋体" w:eastAsia="宋体"/>
                <w:sz w:val="16"/>
              </w:rPr>
              <w:t>10.00</w:t>
            </w:r>
          </w:p>
        </w:tc>
      </w:tr>
      <w:tr w14:paraId="3D9273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079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1191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15489">
            <w:pPr>
              <w:jc w:val="center"/>
            </w:pPr>
            <w:r>
              <w:rPr>
                <w:rFonts w:ascii="宋体" w:hAnsi="宋体" w:eastAsia="宋体"/>
                <w:sz w:val="16"/>
              </w:rPr>
              <w:t>3,993.76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BD1A9">
            <w:pPr>
              <w:jc w:val="center"/>
            </w:pPr>
            <w:r>
              <w:rPr>
                <w:rFonts w:ascii="宋体" w:hAnsi="宋体" w:eastAsia="宋体"/>
                <w:sz w:val="16"/>
              </w:rPr>
              <w:t>3,993.76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B94F7">
            <w:pPr>
              <w:jc w:val="center"/>
            </w:pPr>
            <w:r>
              <w:rPr>
                <w:rFonts w:ascii="宋体" w:hAnsi="宋体" w:eastAsia="宋体"/>
                <w:sz w:val="16"/>
              </w:rPr>
              <w:t>3,993.76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C71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774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D553E">
            <w:pPr>
              <w:jc w:val="center"/>
            </w:pPr>
            <w:r>
              <w:rPr>
                <w:rFonts w:ascii="宋体" w:hAnsi="宋体" w:eastAsia="宋体"/>
                <w:sz w:val="16"/>
              </w:rPr>
              <w:t>-</w:t>
            </w:r>
          </w:p>
        </w:tc>
      </w:tr>
      <w:tr w14:paraId="12F2A3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5D3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9FCA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737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D93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382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97D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68A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4280">
            <w:pPr>
              <w:jc w:val="center"/>
            </w:pPr>
            <w:r>
              <w:rPr>
                <w:rFonts w:ascii="宋体" w:hAnsi="宋体" w:eastAsia="宋体"/>
                <w:sz w:val="16"/>
              </w:rPr>
              <w:t>-</w:t>
            </w:r>
          </w:p>
        </w:tc>
      </w:tr>
      <w:tr w14:paraId="6F6459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39C0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E007A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3FC048">
            <w:pPr>
              <w:jc w:val="center"/>
            </w:pPr>
            <w:r>
              <w:rPr>
                <w:rFonts w:ascii="宋体" w:hAnsi="宋体" w:eastAsia="宋体"/>
                <w:sz w:val="16"/>
              </w:rPr>
              <w:t>总体目标完成情况</w:t>
            </w:r>
          </w:p>
        </w:tc>
      </w:tr>
      <w:tr w14:paraId="2E03D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4C10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3CE337">
            <w:pPr>
              <w:jc w:val="both"/>
            </w:pPr>
            <w:r>
              <w:rPr>
                <w:rFonts w:ascii="宋体" w:hAnsi="宋体" w:eastAsia="宋体"/>
                <w:sz w:val="16"/>
              </w:rPr>
              <w:t>目标1：深化棉花目标价格改革。</w:t>
            </w:r>
            <w:r>
              <w:rPr>
                <w:rFonts w:ascii="宋体" w:hAnsi="宋体" w:eastAsia="宋体"/>
                <w:sz w:val="16"/>
              </w:rPr>
              <w:br w:type="textWrapping"/>
            </w:r>
            <w:r>
              <w:rPr>
                <w:rFonts w:ascii="宋体" w:hAnsi="宋体" w:eastAsia="宋体"/>
                <w:sz w:val="16"/>
              </w:rPr>
              <w:t>目标2：稳定棉农种棉积极性。</w:t>
            </w:r>
            <w:r>
              <w:rPr>
                <w:rFonts w:ascii="宋体" w:hAnsi="宋体" w:eastAsia="宋体"/>
                <w:sz w:val="16"/>
              </w:rPr>
              <w:br w:type="textWrapping"/>
            </w:r>
            <w:r>
              <w:rPr>
                <w:rFonts w:ascii="宋体" w:hAnsi="宋体" w:eastAsia="宋体"/>
                <w:sz w:val="16"/>
              </w:rPr>
              <w:t>目标3：提高棉纺织企业竞争力。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28A54C">
            <w:pPr>
              <w:jc w:val="both"/>
            </w:pPr>
            <w:r>
              <w:rPr>
                <w:rFonts w:ascii="宋体" w:hAnsi="宋体" w:eastAsia="宋体"/>
                <w:sz w:val="16"/>
              </w:rPr>
              <w:t>此项目资金到位数3993.76万元，执行数3993.76万元。</w:t>
            </w:r>
            <w:r>
              <w:rPr>
                <w:rFonts w:hint="eastAsia" w:ascii="宋体" w:hAnsi="宋体"/>
                <w:sz w:val="16"/>
                <w:lang w:eastAsia="zh-CN"/>
              </w:rPr>
              <w:t>截至目前</w:t>
            </w:r>
            <w:r>
              <w:rPr>
                <w:rFonts w:ascii="宋体" w:hAnsi="宋体" w:eastAsia="宋体"/>
                <w:sz w:val="16"/>
              </w:rPr>
              <w:t>已全部完成发放，共涉及1062户。此次棉花补贴发放全部按照各类棉花标准执行，陆地棉籽棉交售量补贴标准0.65元/公斤；特种棉籽棉交售量补贴标准1元/公斤；达到“双29B2”级及以上优质棉花质量补贴标准0.35元/公。保障了棉农基本收益，对提高棉纺织企业国际竞争力的促进作用，改善了生态环境。</w:t>
            </w:r>
          </w:p>
        </w:tc>
      </w:tr>
      <w:tr w14:paraId="4CB235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0D05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97C6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6982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173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345A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D34B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43B1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847D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C96B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4DA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3E6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02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D59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15D49">
            <w:pPr>
              <w:jc w:val="center"/>
            </w:pPr>
            <w:r>
              <w:rPr>
                <w:rFonts w:ascii="宋体" w:hAnsi="宋体" w:eastAsia="宋体"/>
                <w:sz w:val="16"/>
              </w:rPr>
              <w:t>偏差原因分析及改进措施</w:t>
            </w:r>
          </w:p>
        </w:tc>
      </w:tr>
      <w:tr w14:paraId="1C221D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C2021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31812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045D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0C1D0">
            <w:pPr>
              <w:jc w:val="center"/>
            </w:pPr>
            <w:r>
              <w:rPr>
                <w:rFonts w:ascii="宋体" w:hAnsi="宋体" w:eastAsia="宋体"/>
                <w:sz w:val="16"/>
              </w:rPr>
              <w:t>全面、系统、准确统计棉花种植面积和籽棉交售量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6280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A37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B5B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3F0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E07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C2A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7E2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E23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AC1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C95C2">
            <w:pPr>
              <w:jc w:val="center"/>
            </w:pPr>
          </w:p>
        </w:tc>
      </w:tr>
      <w:tr w14:paraId="0C57F6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D64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0D8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181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71F3">
            <w:pPr>
              <w:jc w:val="center"/>
            </w:pPr>
            <w:r>
              <w:rPr>
                <w:rFonts w:ascii="宋体" w:hAnsi="宋体" w:eastAsia="宋体"/>
                <w:sz w:val="16"/>
              </w:rPr>
              <w:t>棉花种植面积、籽棉交售量和补贴资金公示比例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C6A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32F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22A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DB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0ED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738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B8D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E35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38C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E4884">
            <w:pPr>
              <w:jc w:val="center"/>
            </w:pPr>
          </w:p>
        </w:tc>
      </w:tr>
      <w:tr w14:paraId="51A686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57E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E0D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62E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B4851">
            <w:pPr>
              <w:jc w:val="center"/>
            </w:pPr>
            <w:r>
              <w:rPr>
                <w:rFonts w:ascii="宋体" w:hAnsi="宋体" w:eastAsia="宋体"/>
                <w:sz w:val="16"/>
              </w:rPr>
              <w:t>补贴资金到位精准性（补贴资金全额兑付给棉农）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BC15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4D5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EA9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E93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53F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769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C06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35D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E2E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03AE">
            <w:pPr>
              <w:jc w:val="center"/>
            </w:pPr>
          </w:p>
        </w:tc>
      </w:tr>
      <w:tr w14:paraId="0ED465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E1A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AFD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A6ED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47808">
            <w:pPr>
              <w:jc w:val="center"/>
            </w:pPr>
            <w:r>
              <w:rPr>
                <w:rFonts w:ascii="宋体" w:hAnsi="宋体" w:eastAsia="宋体"/>
                <w:sz w:val="16"/>
              </w:rPr>
              <w:t>补贴资金兑付给棉农的时限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2F9CB">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BA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D9C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068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B93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EF7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C8DD0">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491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985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0C03F">
            <w:pPr>
              <w:jc w:val="center"/>
            </w:pPr>
          </w:p>
        </w:tc>
      </w:tr>
      <w:tr w14:paraId="506E86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B65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2A5F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2D3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29546">
            <w:pPr>
              <w:jc w:val="center"/>
            </w:pPr>
            <w:r>
              <w:rPr>
                <w:rFonts w:ascii="宋体" w:hAnsi="宋体" w:eastAsia="宋体"/>
                <w:sz w:val="16"/>
              </w:rPr>
              <w:t>棉花价格补贴标准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5E00">
            <w:pPr>
              <w:jc w:val="center"/>
            </w:pPr>
            <w:r>
              <w:rPr>
                <w:rFonts w:ascii="宋体" w:hAnsi="宋体" w:eastAsia="宋体"/>
                <w:sz w:val="16"/>
              </w:rPr>
              <w:t>&lt;=200元/亩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F8D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E6E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D0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AD9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44B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2B89D">
            <w:pPr>
              <w:jc w:val="center"/>
            </w:pPr>
            <w:r>
              <w:rPr>
                <w:rFonts w:ascii="宋体" w:hAnsi="宋体" w:eastAsia="宋体"/>
                <w:sz w:val="16"/>
              </w:rPr>
              <w:t>=200元/亩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FA4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3AA6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F94D">
            <w:pPr>
              <w:jc w:val="center"/>
            </w:pPr>
          </w:p>
        </w:tc>
      </w:tr>
      <w:tr w14:paraId="2EF78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FBA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BBDB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23E9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A0F8A">
            <w:pPr>
              <w:jc w:val="center"/>
            </w:pPr>
            <w:r>
              <w:rPr>
                <w:rFonts w:ascii="宋体" w:hAnsi="宋体" w:eastAsia="宋体"/>
                <w:sz w:val="16"/>
              </w:rPr>
              <w:t>棉农基本收益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018A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A74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5C6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FFD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E70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A85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0818E">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AA9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D2B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79073">
            <w:pPr>
              <w:jc w:val="center"/>
            </w:pPr>
          </w:p>
        </w:tc>
      </w:tr>
      <w:tr w14:paraId="756F9B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8F0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0C8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1078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76651">
            <w:pPr>
              <w:jc w:val="center"/>
            </w:pPr>
            <w:r>
              <w:rPr>
                <w:rFonts w:ascii="宋体" w:hAnsi="宋体" w:eastAsia="宋体"/>
                <w:sz w:val="16"/>
              </w:rPr>
              <w:t>对提高棉纺织企业国际竞争力的促进作用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8F154">
            <w:pPr>
              <w:jc w:val="center"/>
            </w:pPr>
            <w:r>
              <w:rPr>
                <w:rFonts w:ascii="宋体" w:hAnsi="宋体" w:eastAsia="宋体"/>
                <w:sz w:val="16"/>
              </w:rPr>
              <w:t>稳步提高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C3A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F39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5A7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BB6D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5BE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21235">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415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198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76A1">
            <w:pPr>
              <w:jc w:val="center"/>
            </w:pPr>
          </w:p>
        </w:tc>
      </w:tr>
      <w:tr w14:paraId="78A183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5A7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0E7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AF2F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97BF5">
            <w:pPr>
              <w:jc w:val="center"/>
            </w:pPr>
            <w:r>
              <w:rPr>
                <w:rFonts w:ascii="宋体" w:hAnsi="宋体" w:eastAsia="宋体"/>
                <w:sz w:val="16"/>
              </w:rPr>
              <w:t>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3AD7F">
            <w:pPr>
              <w:jc w:val="center"/>
            </w:pPr>
            <w:r>
              <w:rPr>
                <w:rFonts w:ascii="宋体" w:hAnsi="宋体" w:eastAsia="宋体"/>
                <w:sz w:val="16"/>
              </w:rPr>
              <w:t>有限改善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D06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EE9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F27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28B9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838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1BD6B">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EF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FE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59AE">
            <w:pPr>
              <w:jc w:val="center"/>
            </w:pPr>
          </w:p>
        </w:tc>
      </w:tr>
      <w:tr w14:paraId="63C216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730D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6FBEA2">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ECD06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B050A">
            <w:pPr>
              <w:jc w:val="center"/>
            </w:pPr>
            <w:r>
              <w:rPr>
                <w:rFonts w:ascii="宋体" w:hAnsi="宋体" w:eastAsia="宋体"/>
                <w:sz w:val="16"/>
              </w:rPr>
              <w:t>棉农满意度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F39E4">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1A8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F19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C9C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5BDC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4438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0B233">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17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36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B7350">
            <w:pPr>
              <w:jc w:val="center"/>
            </w:pPr>
          </w:p>
        </w:tc>
      </w:tr>
      <w:tr w14:paraId="376C96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8A8E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41D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30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3422E">
            <w:pPr>
              <w:jc w:val="center"/>
            </w:pPr>
            <w:r>
              <w:rPr>
                <w:rFonts w:ascii="宋体" w:hAnsi="宋体" w:eastAsia="宋体"/>
                <w:sz w:val="16"/>
              </w:rPr>
              <w:t>纺织企业、流通企业等其他相关主体满意度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7A771">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D91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50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13A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E403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D2F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BC9F">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A2B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DED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B2E0F">
            <w:pPr>
              <w:jc w:val="center"/>
            </w:pPr>
          </w:p>
        </w:tc>
      </w:tr>
      <w:tr w14:paraId="07C9AF7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4879C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546C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BA7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96D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5A4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D7FC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A76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96D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A7AB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46CA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8B48E7"/>
        </w:tc>
      </w:tr>
    </w:tbl>
    <w:p w14:paraId="6BA39200">
      <w:r>
        <w:br w:type="page"/>
      </w:r>
    </w:p>
    <w:p w14:paraId="71614920">
      <w:pPr>
        <w:spacing w:line="640" w:lineRule="exact"/>
        <w:ind w:firstLine="640"/>
        <w:jc w:val="both"/>
        <w:outlineLvl w:val="2"/>
      </w:pPr>
      <w:r>
        <w:rPr>
          <w:rFonts w:ascii="黑体" w:hAnsi="黑体" w:eastAsia="黑体"/>
          <w:sz w:val="32"/>
        </w:rPr>
        <w:t>十二、其他需说明的事项</w:t>
      </w:r>
    </w:p>
    <w:p w14:paraId="0A27C296">
      <w:pPr>
        <w:spacing w:line="580" w:lineRule="exact"/>
        <w:ind w:firstLine="640"/>
        <w:jc w:val="both"/>
      </w:pPr>
      <w:r>
        <w:rPr>
          <w:rFonts w:ascii="仿宋_GB2312" w:hAnsi="仿宋_GB2312" w:eastAsia="仿宋_GB2312"/>
          <w:b w:val="0"/>
          <w:sz w:val="32"/>
        </w:rPr>
        <w:t>本部门无其他需说明的事项。</w:t>
      </w:r>
    </w:p>
    <w:p w14:paraId="1A8E0FBD">
      <w:r>
        <w:br w:type="page"/>
      </w:r>
    </w:p>
    <w:p w14:paraId="1BC121DA">
      <w:pPr>
        <w:spacing w:line="240" w:lineRule="auto"/>
        <w:jc w:val="center"/>
        <w:outlineLvl w:val="1"/>
      </w:pPr>
      <w:r>
        <w:rPr>
          <w:rFonts w:ascii="黑体" w:hAnsi="黑体" w:eastAsia="黑体"/>
          <w:sz w:val="32"/>
        </w:rPr>
        <w:t>第三部分 专业名词解释</w:t>
      </w:r>
    </w:p>
    <w:p w14:paraId="7EA6C02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8A4897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A4A2DA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B0169D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17535A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B15EAE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741D79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AD24F8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F8DD7C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408FF1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9BC723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1B6273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A7340A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CD52DC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C186855">
      <w:r>
        <w:br w:type="page"/>
      </w:r>
    </w:p>
    <w:p w14:paraId="7ECABF77">
      <w:pPr>
        <w:spacing w:line="240" w:lineRule="auto"/>
        <w:jc w:val="center"/>
        <w:outlineLvl w:val="1"/>
      </w:pPr>
      <w:r>
        <w:rPr>
          <w:rFonts w:ascii="黑体" w:hAnsi="黑体" w:eastAsia="黑体"/>
          <w:sz w:val="32"/>
        </w:rPr>
        <w:t>第四部分 部门决算报表（见附表）</w:t>
      </w:r>
    </w:p>
    <w:p w14:paraId="475F25EF">
      <w:pPr>
        <w:spacing w:line="240" w:lineRule="auto"/>
        <w:ind w:firstLine="640"/>
        <w:jc w:val="both"/>
      </w:pPr>
      <w:r>
        <w:rPr>
          <w:rFonts w:ascii="仿宋_GB2312" w:hAnsi="仿宋_GB2312" w:eastAsia="仿宋_GB2312"/>
          <w:b w:val="0"/>
          <w:sz w:val="32"/>
        </w:rPr>
        <w:t>一、《收入支出决算总表》</w:t>
      </w:r>
    </w:p>
    <w:p w14:paraId="1401C23D">
      <w:pPr>
        <w:spacing w:line="240" w:lineRule="auto"/>
        <w:ind w:firstLine="640"/>
        <w:jc w:val="both"/>
      </w:pPr>
      <w:r>
        <w:rPr>
          <w:rFonts w:ascii="仿宋_GB2312" w:hAnsi="仿宋_GB2312" w:eastAsia="仿宋_GB2312"/>
          <w:b w:val="0"/>
          <w:sz w:val="32"/>
        </w:rPr>
        <w:t>二、《收入决算表》</w:t>
      </w:r>
    </w:p>
    <w:p w14:paraId="6EBE5C47">
      <w:pPr>
        <w:spacing w:line="240" w:lineRule="auto"/>
        <w:ind w:firstLine="640"/>
        <w:jc w:val="both"/>
      </w:pPr>
      <w:r>
        <w:rPr>
          <w:rFonts w:ascii="仿宋_GB2312" w:hAnsi="仿宋_GB2312" w:eastAsia="仿宋_GB2312"/>
          <w:b w:val="0"/>
          <w:sz w:val="32"/>
        </w:rPr>
        <w:t>三、《支出决算表》</w:t>
      </w:r>
    </w:p>
    <w:p w14:paraId="5F27E60E">
      <w:pPr>
        <w:spacing w:line="240" w:lineRule="auto"/>
        <w:ind w:firstLine="640"/>
        <w:jc w:val="both"/>
      </w:pPr>
      <w:r>
        <w:rPr>
          <w:rFonts w:ascii="仿宋_GB2312" w:hAnsi="仿宋_GB2312" w:eastAsia="仿宋_GB2312"/>
          <w:b w:val="0"/>
          <w:sz w:val="32"/>
        </w:rPr>
        <w:t>四、《财政拨款收入支出决算总表》</w:t>
      </w:r>
    </w:p>
    <w:p w14:paraId="62357B48">
      <w:pPr>
        <w:spacing w:line="240" w:lineRule="auto"/>
        <w:ind w:firstLine="640"/>
        <w:jc w:val="both"/>
      </w:pPr>
      <w:r>
        <w:rPr>
          <w:rFonts w:ascii="仿宋_GB2312" w:hAnsi="仿宋_GB2312" w:eastAsia="仿宋_GB2312"/>
          <w:b w:val="0"/>
          <w:sz w:val="32"/>
        </w:rPr>
        <w:t>五、《一般公共预算财政拨款支出决算表》</w:t>
      </w:r>
    </w:p>
    <w:p w14:paraId="662E6C38">
      <w:pPr>
        <w:spacing w:line="240" w:lineRule="auto"/>
        <w:ind w:firstLine="640"/>
        <w:jc w:val="both"/>
      </w:pPr>
      <w:r>
        <w:rPr>
          <w:rFonts w:ascii="仿宋_GB2312" w:hAnsi="仿宋_GB2312" w:eastAsia="仿宋_GB2312"/>
          <w:b w:val="0"/>
          <w:sz w:val="32"/>
        </w:rPr>
        <w:t>六、《一般公共预算财政拨款基本支出决算表》</w:t>
      </w:r>
    </w:p>
    <w:p w14:paraId="062A851F">
      <w:pPr>
        <w:spacing w:line="240" w:lineRule="auto"/>
        <w:ind w:firstLine="640"/>
        <w:jc w:val="both"/>
      </w:pPr>
      <w:r>
        <w:rPr>
          <w:rFonts w:ascii="仿宋_GB2312" w:hAnsi="仿宋_GB2312" w:eastAsia="仿宋_GB2312"/>
          <w:b w:val="0"/>
          <w:sz w:val="32"/>
        </w:rPr>
        <w:t>七、《政府性基金预算财政拨款收入支出决算表》</w:t>
      </w:r>
    </w:p>
    <w:p w14:paraId="42CA5139">
      <w:pPr>
        <w:spacing w:line="240" w:lineRule="auto"/>
        <w:ind w:firstLine="640"/>
        <w:jc w:val="both"/>
      </w:pPr>
      <w:r>
        <w:rPr>
          <w:rFonts w:ascii="仿宋_GB2312" w:hAnsi="仿宋_GB2312" w:eastAsia="仿宋_GB2312"/>
          <w:b w:val="0"/>
          <w:sz w:val="32"/>
        </w:rPr>
        <w:t>八、《国有资本经营预算财政拨款收入支出决算表》</w:t>
      </w:r>
    </w:p>
    <w:p w14:paraId="6CD61C19">
      <w:pPr>
        <w:spacing w:line="240" w:lineRule="auto"/>
        <w:ind w:firstLine="640"/>
        <w:jc w:val="both"/>
      </w:pPr>
      <w:r>
        <w:rPr>
          <w:rFonts w:ascii="仿宋_GB2312" w:hAnsi="仿宋_GB2312" w:eastAsia="仿宋_GB2312"/>
          <w:b w:val="0"/>
          <w:sz w:val="32"/>
        </w:rPr>
        <w:t>九、《财政拨款“三公”经费支出决算表》</w:t>
      </w:r>
    </w:p>
    <w:p w14:paraId="1D2F468C">
      <w:pPr>
        <w:spacing w:line="240" w:lineRule="auto"/>
        <w:ind w:firstLine="640"/>
        <w:jc w:val="both"/>
      </w:pPr>
    </w:p>
    <w:p w14:paraId="06CCE619">
      <w:pPr>
        <w:spacing w:line="240" w:lineRule="auto"/>
        <w:ind w:firstLine="640"/>
        <w:jc w:val="both"/>
      </w:pPr>
    </w:p>
    <w:p w14:paraId="755D7D3C">
      <w:pPr>
        <w:spacing w:line="240" w:lineRule="auto"/>
        <w:ind w:firstLine="640"/>
        <w:jc w:val="both"/>
      </w:pPr>
    </w:p>
    <w:p w14:paraId="5FE58E2C">
      <w:pPr>
        <w:spacing w:line="240" w:lineRule="auto"/>
        <w:ind w:firstLine="640"/>
        <w:jc w:val="both"/>
      </w:pPr>
    </w:p>
    <w:p w14:paraId="57F7091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F77EFB-5107-4D6E-91EB-F89C5D057A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4094F6C-64DA-452F-841A-CBA8D1F15665}"/>
  </w:font>
  <w:font w:name="仿宋_GB2312">
    <w:panose1 w:val="02010609030101010101"/>
    <w:charset w:val="86"/>
    <w:family w:val="modern"/>
    <w:pitch w:val="default"/>
    <w:sig w:usb0="00000001" w:usb1="080E0000" w:usb2="00000000" w:usb3="00000000" w:csb0="00040000" w:csb1="00000000"/>
    <w:embedRegular r:id="rId3" w:fontKey="{E5ABFE26-D0DB-466B-8320-881374BEA5AE}"/>
  </w:font>
  <w:font w:name="楷体_GB2312">
    <w:panose1 w:val="02010609030101010101"/>
    <w:charset w:val="86"/>
    <w:family w:val="auto"/>
    <w:pitch w:val="default"/>
    <w:sig w:usb0="00000001" w:usb1="080E0000" w:usb2="00000000" w:usb3="00000000" w:csb0="00040000" w:csb1="00000000"/>
    <w:embedRegular r:id="rId4" w:fontKey="{012A35E7-8EC7-4BDD-A1F2-ED8946F95D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D1114F8"/>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6077</Words>
  <Characters>6953</Characters>
  <Lines>0</Lines>
  <Paragraphs>0</Paragraphs>
  <TotalTime>2</TotalTime>
  <ScaleCrop>false</ScaleCrop>
  <LinksUpToDate>false</LinksUpToDate>
  <CharactersWithSpaces>6961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2025-09-26T09:37:52Z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