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u w:val="single"/>
        </w:rPr>
        <w:t>且末县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eastAsia="zh-CN"/>
        </w:rPr>
        <w:t>2018</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left="2220" w:leftChars="200" w:hanging="1800" w:hangingChars="500"/>
        <w:jc w:val="left"/>
        <w:rPr>
          <w:rFonts w:hAnsi="宋体" w:eastAsia="仿宋_GB2312" w:cs="宋体"/>
          <w:kern w:val="0"/>
          <w:sz w:val="36"/>
          <w:szCs w:val="36"/>
        </w:rPr>
      </w:pPr>
      <w:r>
        <w:rPr>
          <w:rFonts w:hint="eastAsia" w:hAnsi="宋体" w:eastAsia="仿宋_GB2312" w:cs="宋体"/>
          <w:kern w:val="0"/>
          <w:sz w:val="36"/>
          <w:szCs w:val="36"/>
        </w:rPr>
        <w:t>项目名称：</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年教育费附加-且末县第二小学建设项目支出</w:t>
      </w:r>
    </w:p>
    <w:p>
      <w:pPr>
        <w:spacing w:line="700" w:lineRule="exact"/>
        <w:ind w:firstLine="360" w:firstLineChars="100"/>
        <w:jc w:val="left"/>
        <w:rPr>
          <w:rFonts w:hAnsi="宋体" w:eastAsia="仿宋_GB2312" w:cs="宋体"/>
          <w:kern w:val="0"/>
          <w:sz w:val="36"/>
          <w:szCs w:val="36"/>
        </w:rPr>
      </w:pPr>
      <w:r>
        <w:rPr>
          <w:rFonts w:hint="eastAsia" w:hAnsi="宋体" w:eastAsia="仿宋_GB2312" w:cs="宋体"/>
          <w:kern w:val="0"/>
          <w:sz w:val="36"/>
          <w:szCs w:val="36"/>
        </w:rPr>
        <w:t>实施单位（公章）：且末</w:t>
      </w:r>
      <w:r>
        <w:rPr>
          <w:rFonts w:hint="eastAsia" w:hAnsi="宋体" w:eastAsia="仿宋_GB2312" w:cs="宋体"/>
          <w:kern w:val="0"/>
          <w:sz w:val="36"/>
          <w:szCs w:val="36"/>
          <w:lang w:eastAsia="zh-CN"/>
        </w:rPr>
        <w:t>教育</w:t>
      </w:r>
      <w:r>
        <w:rPr>
          <w:rFonts w:hint="eastAsia" w:hAnsi="宋体" w:eastAsia="仿宋_GB2312" w:cs="宋体"/>
          <w:kern w:val="0"/>
          <w:sz w:val="36"/>
          <w:szCs w:val="36"/>
        </w:rPr>
        <w:t>和科学技术局</w:t>
      </w:r>
    </w:p>
    <w:p>
      <w:pPr>
        <w:spacing w:line="700" w:lineRule="exact"/>
        <w:ind w:firstLine="360" w:firstLineChars="100"/>
        <w:jc w:val="left"/>
        <w:rPr>
          <w:rFonts w:hAnsi="宋体" w:eastAsia="仿宋_GB2312" w:cs="宋体"/>
          <w:kern w:val="0"/>
          <w:sz w:val="36"/>
          <w:szCs w:val="36"/>
        </w:rPr>
      </w:pPr>
      <w:r>
        <w:rPr>
          <w:rFonts w:hint="eastAsia" w:hAnsi="宋体" w:eastAsia="仿宋_GB2312" w:cs="宋体"/>
          <w:kern w:val="0"/>
          <w:sz w:val="36"/>
          <w:szCs w:val="36"/>
        </w:rPr>
        <w:t>主管部门（公章）：且末</w:t>
      </w:r>
      <w:r>
        <w:rPr>
          <w:rFonts w:hint="eastAsia" w:hAnsi="宋体" w:eastAsia="仿宋_GB2312" w:cs="宋体"/>
          <w:kern w:val="0"/>
          <w:sz w:val="36"/>
          <w:szCs w:val="36"/>
          <w:lang w:eastAsia="zh-CN"/>
        </w:rPr>
        <w:t>教育</w:t>
      </w:r>
      <w:r>
        <w:rPr>
          <w:rFonts w:hint="eastAsia" w:hAnsi="宋体" w:eastAsia="仿宋_GB2312" w:cs="宋体"/>
          <w:kern w:val="0"/>
          <w:sz w:val="36"/>
          <w:szCs w:val="36"/>
        </w:rPr>
        <w:t>和科学技术局</w:t>
      </w:r>
    </w:p>
    <w:p>
      <w:pPr>
        <w:spacing w:line="700" w:lineRule="exact"/>
        <w:ind w:firstLine="360" w:firstLineChars="100"/>
        <w:jc w:val="left"/>
        <w:rPr>
          <w:rFonts w:hAnsi="宋体" w:eastAsia="仿宋_GB2312" w:cs="宋体"/>
          <w:kern w:val="0"/>
          <w:sz w:val="36"/>
          <w:szCs w:val="36"/>
        </w:rPr>
      </w:pPr>
      <w:r>
        <w:rPr>
          <w:rFonts w:hint="eastAsia" w:hAnsi="宋体" w:eastAsia="仿宋_GB2312" w:cs="宋体"/>
          <w:kern w:val="0"/>
          <w:sz w:val="36"/>
          <w:szCs w:val="36"/>
        </w:rPr>
        <w:t>项目负责人（签章）：蒋华栋</w:t>
      </w:r>
      <w:bookmarkStart w:id="0" w:name="_GoBack"/>
      <w:bookmarkEnd w:id="0"/>
    </w:p>
    <w:p>
      <w:pPr>
        <w:spacing w:line="700" w:lineRule="exact"/>
        <w:ind w:firstLine="360" w:firstLineChars="100"/>
        <w:jc w:val="left"/>
        <w:rPr>
          <w:rFonts w:hAnsi="宋体" w:eastAsia="仿宋_GB2312" w:cs="宋体"/>
          <w:kern w:val="0"/>
          <w:sz w:val="36"/>
          <w:szCs w:val="36"/>
        </w:rPr>
      </w:pPr>
      <w:r>
        <w:rPr>
          <w:rFonts w:hint="eastAsia" w:hAnsi="宋体" w:eastAsia="仿宋_GB2312" w:cs="宋体"/>
          <w:kern w:val="0"/>
          <w:sz w:val="36"/>
          <w:szCs w:val="36"/>
        </w:rPr>
        <w:t>填报时间：201</w:t>
      </w:r>
      <w:r>
        <w:rPr>
          <w:rFonts w:hint="eastAsia" w:hAnsi="宋体" w:eastAsia="仿宋_GB2312" w:cs="宋体"/>
          <w:kern w:val="0"/>
          <w:sz w:val="36"/>
          <w:szCs w:val="36"/>
          <w:lang w:val="en-US" w:eastAsia="zh-CN"/>
        </w:rPr>
        <w:t>9</w:t>
      </w:r>
      <w:r>
        <w:rPr>
          <w:rFonts w:hint="eastAsia" w:hAnsi="宋体" w:eastAsia="仿宋_GB2312" w:cs="宋体"/>
          <w:kern w:val="0"/>
          <w:sz w:val="36"/>
          <w:szCs w:val="36"/>
        </w:rPr>
        <w:t>年1月31日</w:t>
      </w:r>
    </w:p>
    <w:p>
      <w:pPr>
        <w:spacing w:line="540" w:lineRule="exact"/>
        <w:jc w:val="center"/>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1、且末县教育和科学技术局属于一级预算单位，单位基本性质为行政事业单位，单位执行行政单位会计制度。</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 xml:space="preserve">单位下辖中小学及幼儿园37所，其中幼儿园23所，小学12所，完中1所，学点1所。单位下设局长办、纪委书记办、副局长办、党政办、干部人事与工会办、会计核算中心等16个科室。机构情况较上年无变化。 </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2.人员情况</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本单位属行政机关，核定编制数为9人，其中：行政编制9人；现有实有人员9人，其中：在职人员9人(其中行政9人，事业编制0人)，其他人员1人，遗属人员5人。</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3. 主要职能</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 xml:space="preserve">（1）.贯彻执行党和国家有关教育和科学技术工作的方针、政策和法规;依法拟定并组织实施本县教育工作和科学技术工作的政策和发展规划。 </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 xml:space="preserve">（2）.管理和指导全县学前教育、基础教育、职业技术教育、成人教育等工作。指导各级各类学校的教育教学工作,组织实施语言文字和学校体育卫生、国防教育、艺术教育等工作。 </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 xml:space="preserve">（3）.审核和审批规定范围内学校的专业设置、课程设置,规划并实施中小学校布局调整，审批和管理社会力量办学;确定全县科研机构布局和结构,按规定审核和报批县属科研机构。 </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 xml:space="preserve">（4）.统筹规划各级各类学校教师队伍和教研单位科技专业队伍的建设,主管各级各类教师和科技专业人员的专业职称评审工作。 </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 xml:space="preserve">（5）.会同计划部门编制职业技术学校、普通中小学校的招生计划。 </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 xml:space="preserve">（6）.负责管理和指导全县普通中小学校的招生考试、录取工作和管理全县的自学考试及其他学历考试工作;参与指导资格考试和录取工作。 </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 xml:space="preserve">（7）.管理教育基金,统筹安排国家、省和县下达的有关教育与科技基建费、贷款和援助款;检查督促教育科技经费的使用，负责各级各类学校教育经费的审查工作;负责全县科技专项经费和科研物资的使用管理、审查工作。 </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（8）.负责科学技术研究、科技成果的示范推广等工作。负责科技成果的鉴定、认定、登记、公布、奖励工作;申报国家、省级科技奖励事项,以及县级科技奖励事项。</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项目资金共计</w:t>
      </w:r>
      <w:r>
        <w:rPr>
          <w:rStyle w:val="17"/>
          <w:rFonts w:hint="eastAsia" w:ascii="仿宋" w:hAnsi="仿宋" w:eastAsia="仿宋"/>
          <w:b w:val="0"/>
          <w:spacing w:val="-4"/>
          <w:sz w:val="32"/>
          <w:szCs w:val="32"/>
          <w:lang w:val="en-US" w:eastAsia="zh-CN"/>
        </w:rPr>
        <w:t>694.19</w:t>
      </w:r>
      <w:r>
        <w:rPr>
          <w:rStyle w:val="17"/>
          <w:rFonts w:hint="eastAsia" w:ascii="仿宋" w:hAnsi="仿宋" w:eastAsia="仿宋"/>
          <w:b w:val="0"/>
          <w:spacing w:val="-4"/>
          <w:sz w:val="32"/>
          <w:szCs w:val="32"/>
        </w:rPr>
        <w:t>万元，均为本级财政投入的专项资金。</w:t>
      </w:r>
      <w:r>
        <w:rPr>
          <w:rStyle w:val="17"/>
          <w:rFonts w:hint="eastAsia" w:ascii="仿宋" w:hAnsi="仿宋" w:eastAsia="仿宋"/>
          <w:b w:val="0"/>
          <w:spacing w:val="-4"/>
          <w:sz w:val="32"/>
          <w:szCs w:val="32"/>
          <w:lang w:eastAsia="zh-CN"/>
        </w:rPr>
        <w:t>本年度合计支出</w:t>
      </w:r>
      <w:r>
        <w:rPr>
          <w:rStyle w:val="17"/>
          <w:rFonts w:hint="eastAsia" w:ascii="仿宋" w:hAnsi="仿宋" w:eastAsia="仿宋"/>
          <w:b w:val="0"/>
          <w:spacing w:val="-4"/>
          <w:sz w:val="32"/>
          <w:szCs w:val="32"/>
          <w:lang w:val="en-US" w:eastAsia="zh-CN"/>
        </w:rPr>
        <w:t>694.19万元。</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spacing w:line="660" w:lineRule="exact"/>
        <w:ind w:firstLine="640" w:firstLineChars="200"/>
        <w:rPr>
          <w:rFonts w:ascii="仿宋_GB2312" w:eastAsia="仿宋_GB2312"/>
          <w:kern w:val="0"/>
          <w:sz w:val="32"/>
          <w:szCs w:val="32"/>
        </w:rPr>
      </w:pPr>
      <w:r>
        <w:rPr>
          <w:rFonts w:hint="eastAsia" w:ascii="仿宋_GB2312" w:eastAsia="仿宋_GB2312"/>
          <w:kern w:val="0"/>
          <w:sz w:val="32"/>
          <w:szCs w:val="32"/>
        </w:rPr>
        <w:t>且末县第二小学是我县刚刚成立的一所县城小学，校园规划占地面积85777平方米，计128.6亩地，学校规划教学班38个，可容纳学生1500人；学校一期工程教学楼、综合楼、图书楼各1栋，共计建筑面积14593平方米，须投入建设资金2570万元。学校二期工程风雨操场建筑面积1200平方米，室外水冲式厕所建筑面积200平方米，借助文广局争取到的塑胶运动场项目，再加上学校大门、围墙、室外地面硬化、绿化、室外管网等附属工程，县二小二期工程预计投入建设资金2940万元。2015-2016年投入1800万，本年度按工程进度支出</w:t>
      </w:r>
      <w:r>
        <w:rPr>
          <w:rFonts w:hint="eastAsia" w:ascii="仿宋_GB2312" w:eastAsia="仿宋_GB2312"/>
          <w:kern w:val="0"/>
          <w:sz w:val="32"/>
          <w:szCs w:val="32"/>
          <w:lang w:val="en-US" w:eastAsia="zh-CN"/>
        </w:rPr>
        <w:t>694.19</w:t>
      </w:r>
      <w:r>
        <w:rPr>
          <w:rFonts w:hint="eastAsia" w:ascii="仿宋_GB2312" w:eastAsia="仿宋_GB2312"/>
          <w:kern w:val="0"/>
          <w:sz w:val="32"/>
          <w:szCs w:val="32"/>
        </w:rPr>
        <w:t>万，主要用于附属设施建设。</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spacing w:line="54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项目资金实际支出教育费附加款</w:t>
      </w:r>
      <w:r>
        <w:rPr>
          <w:rStyle w:val="17"/>
          <w:rFonts w:hint="eastAsia" w:ascii="仿宋" w:hAnsi="仿宋" w:eastAsia="仿宋"/>
          <w:b w:val="0"/>
          <w:spacing w:val="-4"/>
          <w:sz w:val="32"/>
          <w:szCs w:val="32"/>
          <w:lang w:val="en-US" w:eastAsia="zh-CN"/>
        </w:rPr>
        <w:t>694.19</w:t>
      </w:r>
      <w:r>
        <w:rPr>
          <w:rStyle w:val="17"/>
          <w:rFonts w:hint="eastAsia" w:ascii="仿宋" w:hAnsi="仿宋" w:eastAsia="仿宋"/>
          <w:b w:val="0"/>
          <w:spacing w:val="-4"/>
          <w:sz w:val="32"/>
          <w:szCs w:val="32"/>
        </w:rPr>
        <w:t>万元，均为本级财政专项资金。教育费附加主要使用范围：用于改善中小学校办学条件、基础设施建设和弥布中小学校的公用经费的不足。我县教育费附加款已足额征收，并100%按支出范围用于且末县第二小学项目建设、且末县幼儿园项目建设及设备采购。</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spacing w:line="540" w:lineRule="exact"/>
        <w:ind w:firstLine="640"/>
        <w:rPr>
          <w:rFonts w:ascii="仿宋" w:hAnsi="仿宋" w:eastAsia="仿宋"/>
          <w:bCs/>
          <w:spacing w:val="-4"/>
          <w:sz w:val="32"/>
          <w:szCs w:val="32"/>
        </w:rPr>
      </w:pPr>
      <w:r>
        <w:rPr>
          <w:rFonts w:ascii="仿宋" w:hAnsi="仿宋" w:eastAsia="仿宋"/>
          <w:bCs/>
          <w:spacing w:val="-4"/>
          <w:sz w:val="32"/>
          <w:szCs w:val="32"/>
        </w:rPr>
        <w:t>教育费附加是由税务机关负责征收，同级教育部门统筹安排，同级财政部门监督管理，专门用于发展地方教育事业的预算外资金</w:t>
      </w:r>
      <w:r>
        <w:rPr>
          <w:rFonts w:hint="eastAsia" w:ascii="仿宋" w:hAnsi="仿宋" w:eastAsia="仿宋"/>
          <w:bCs/>
          <w:spacing w:val="-4"/>
          <w:sz w:val="32"/>
          <w:szCs w:val="32"/>
        </w:rPr>
        <w:t>，</w:t>
      </w:r>
      <w:r>
        <w:rPr>
          <w:rFonts w:ascii="仿宋" w:hAnsi="仿宋" w:eastAsia="仿宋"/>
          <w:bCs/>
          <w:spacing w:val="-4"/>
          <w:sz w:val="32"/>
          <w:szCs w:val="32"/>
        </w:rPr>
        <w:t>为了支出中等职业学校办学</w:t>
      </w:r>
      <w:r>
        <w:rPr>
          <w:rFonts w:hint="eastAsia" w:ascii="仿宋" w:hAnsi="仿宋" w:eastAsia="仿宋"/>
          <w:bCs/>
          <w:spacing w:val="-4"/>
          <w:sz w:val="32"/>
          <w:szCs w:val="32"/>
        </w:rPr>
        <w:t>，</w:t>
      </w:r>
      <w:r>
        <w:rPr>
          <w:rFonts w:ascii="仿宋" w:hAnsi="仿宋" w:eastAsia="仿宋"/>
          <w:bCs/>
          <w:spacing w:val="-4"/>
          <w:sz w:val="32"/>
          <w:szCs w:val="32"/>
        </w:rPr>
        <w:t>上解教育费附加资金</w:t>
      </w:r>
      <w:r>
        <w:rPr>
          <w:rFonts w:hint="eastAsia" w:ascii="仿宋" w:hAnsi="仿宋" w:eastAsia="仿宋"/>
          <w:bCs/>
          <w:spacing w:val="-4"/>
          <w:sz w:val="32"/>
          <w:szCs w:val="32"/>
        </w:rPr>
        <w:t>209。其余资金用于地方教育事业支出。</w:t>
      </w:r>
    </w:p>
    <w:p>
      <w:pPr>
        <w:spacing w:line="540" w:lineRule="exact"/>
        <w:ind w:firstLine="468" w:firstLineChars="15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spacing w:line="540" w:lineRule="exact"/>
        <w:ind w:firstLine="640"/>
        <w:rPr>
          <w:rFonts w:ascii="仿宋" w:hAnsi="仿宋" w:eastAsia="仿宋"/>
          <w:bCs/>
          <w:spacing w:val="-4"/>
          <w:sz w:val="32"/>
          <w:szCs w:val="32"/>
        </w:rPr>
      </w:pPr>
      <w:r>
        <w:rPr>
          <w:rFonts w:ascii="仿宋" w:hAnsi="仿宋" w:eastAsia="仿宋"/>
          <w:bCs/>
          <w:spacing w:val="-4"/>
          <w:sz w:val="32"/>
          <w:szCs w:val="32"/>
        </w:rPr>
        <w:t>教育费附加是由税务机关负责征收，同级教育部门统筹安排，同级财政部门监督管理，专门用于发展地方教育事业的预算外资金</w:t>
      </w:r>
      <w:r>
        <w:rPr>
          <w:rFonts w:hint="eastAsia" w:ascii="仿宋" w:hAnsi="仿宋" w:eastAsia="仿宋"/>
          <w:bCs/>
          <w:spacing w:val="-4"/>
          <w:sz w:val="32"/>
          <w:szCs w:val="32"/>
        </w:rPr>
        <w:t>，</w:t>
      </w:r>
      <w:r>
        <w:rPr>
          <w:rFonts w:ascii="仿宋" w:hAnsi="仿宋" w:eastAsia="仿宋"/>
          <w:bCs/>
          <w:spacing w:val="-4"/>
          <w:sz w:val="32"/>
          <w:szCs w:val="32"/>
        </w:rPr>
        <w:t>为了支出中等职业学校办学</w:t>
      </w:r>
      <w:r>
        <w:rPr>
          <w:rFonts w:hint="eastAsia" w:ascii="仿宋" w:hAnsi="仿宋" w:eastAsia="仿宋"/>
          <w:bCs/>
          <w:spacing w:val="-4"/>
          <w:sz w:val="32"/>
          <w:szCs w:val="32"/>
        </w:rPr>
        <w:t>，</w:t>
      </w:r>
      <w:r>
        <w:rPr>
          <w:rFonts w:ascii="仿宋" w:hAnsi="仿宋" w:eastAsia="仿宋"/>
          <w:bCs/>
          <w:spacing w:val="-4"/>
          <w:sz w:val="32"/>
          <w:szCs w:val="32"/>
        </w:rPr>
        <w:t>上解教育费附加资金</w:t>
      </w:r>
      <w:r>
        <w:rPr>
          <w:rFonts w:hint="eastAsia" w:ascii="仿宋" w:hAnsi="仿宋" w:eastAsia="仿宋"/>
          <w:bCs/>
          <w:spacing w:val="-4"/>
          <w:sz w:val="32"/>
          <w:szCs w:val="32"/>
        </w:rPr>
        <w:t>。</w:t>
      </w:r>
    </w:p>
    <w:p>
      <w:pPr>
        <w:spacing w:line="640" w:lineRule="exact"/>
        <w:ind w:firstLine="630"/>
        <w:rPr>
          <w:rFonts w:ascii="仿宋_GB2312" w:eastAsia="仿宋_GB2312"/>
          <w:sz w:val="32"/>
          <w:szCs w:val="32"/>
        </w:rPr>
      </w:pPr>
      <w:r>
        <w:rPr>
          <w:rFonts w:hint="eastAsia" w:ascii="仿宋_GB2312" w:eastAsia="仿宋_GB2312"/>
          <w:sz w:val="32"/>
          <w:szCs w:val="32"/>
        </w:rPr>
        <w:t>为确保我县教育工程建设有序推进，县教育工程项目建设领导小组与县发展工作领导小组并行，做到至少每周一调度，每月一小结，每季度一研判的项目推进机制，遇到项目关键节点和出现影响工程进度的矛盾及问题，及时召开现场会、督办会进行会商，现场限时解决，确保项目扎实推进。县委、政府领导多次主持召开协调会，协调解决项目建设工作中存在的问题，经常深入各施工现场，督查项目工程质量和施工进度，为推进我县教育事业提供了组织保障。</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spacing w:line="560" w:lineRule="exact"/>
        <w:ind w:firstLine="624" w:firstLineChars="200"/>
        <w:rPr>
          <w:rFonts w:ascii="仿宋_GB2312" w:eastAsia="仿宋_GB2312"/>
          <w:sz w:val="32"/>
          <w:szCs w:val="32"/>
        </w:rPr>
      </w:pPr>
      <w:r>
        <w:rPr>
          <w:rFonts w:hint="eastAsia" w:ascii="仿宋" w:hAnsi="仿宋" w:eastAsia="仿宋"/>
          <w:bCs/>
          <w:spacing w:val="-4"/>
          <w:sz w:val="32"/>
          <w:szCs w:val="32"/>
        </w:rPr>
        <w:t>1、</w:t>
      </w:r>
      <w:r>
        <w:rPr>
          <w:rFonts w:hint="eastAsia" w:ascii="仿宋_GB2312" w:eastAsia="仿宋_GB2312"/>
          <w:sz w:val="32"/>
          <w:szCs w:val="32"/>
        </w:rPr>
        <w:t>“工程”专项资金集中在县级管理，不得将其下拨到乡镇或项目学校；专项资金的核算按照建设单位财务制度进行会计核算；相关设备的采购要按规定实行政府采购，并做好固定资产登记工作。项目资金的使用应严格执行基本建设财务管理有关规定。</w:t>
      </w:r>
    </w:p>
    <w:p>
      <w:pPr>
        <w:spacing w:line="540" w:lineRule="exact"/>
        <w:ind w:firstLine="640"/>
        <w:rPr>
          <w:rFonts w:ascii="仿宋" w:hAnsi="仿宋" w:eastAsia="仿宋"/>
          <w:bCs/>
          <w:spacing w:val="-4"/>
          <w:sz w:val="32"/>
          <w:szCs w:val="32"/>
        </w:rPr>
      </w:pPr>
      <w:r>
        <w:rPr>
          <w:rFonts w:hint="eastAsia" w:ascii="仿宋" w:hAnsi="仿宋" w:eastAsia="仿宋"/>
          <w:bCs/>
          <w:spacing w:val="-4"/>
          <w:sz w:val="32"/>
          <w:szCs w:val="32"/>
        </w:rPr>
        <w:t>2、</w:t>
      </w:r>
      <w:r>
        <w:rPr>
          <w:rFonts w:ascii="仿宋" w:hAnsi="仿宋" w:eastAsia="仿宋"/>
          <w:bCs/>
          <w:spacing w:val="-4"/>
          <w:sz w:val="32"/>
          <w:szCs w:val="32"/>
        </w:rPr>
        <w:t>教育费附加是由税务机关负责征收，同级教育部门统筹安排，同级财政部门监督管理，专门用于发展地方教育事业的预算外资金</w:t>
      </w:r>
      <w:r>
        <w:rPr>
          <w:rFonts w:hint="eastAsia" w:ascii="仿宋" w:hAnsi="仿宋" w:eastAsia="仿宋"/>
          <w:bCs/>
          <w:spacing w:val="-4"/>
          <w:sz w:val="32"/>
          <w:szCs w:val="32"/>
        </w:rPr>
        <w:t>，</w:t>
      </w:r>
      <w:r>
        <w:rPr>
          <w:rFonts w:ascii="仿宋" w:hAnsi="仿宋" w:eastAsia="仿宋"/>
          <w:bCs/>
          <w:spacing w:val="-4"/>
          <w:sz w:val="32"/>
          <w:szCs w:val="32"/>
        </w:rPr>
        <w:t>为了支出中等职业学校办学</w:t>
      </w:r>
      <w:r>
        <w:rPr>
          <w:rFonts w:hint="eastAsia" w:ascii="仿宋" w:hAnsi="仿宋" w:eastAsia="仿宋"/>
          <w:bCs/>
          <w:spacing w:val="-4"/>
          <w:sz w:val="32"/>
          <w:szCs w:val="32"/>
        </w:rPr>
        <w:t>，</w:t>
      </w:r>
      <w:r>
        <w:rPr>
          <w:rFonts w:ascii="仿宋" w:hAnsi="仿宋" w:eastAsia="仿宋"/>
          <w:bCs/>
          <w:spacing w:val="-4"/>
          <w:sz w:val="32"/>
          <w:szCs w:val="32"/>
        </w:rPr>
        <w:t>上解教育费附加资金</w:t>
      </w:r>
      <w:r>
        <w:rPr>
          <w:rFonts w:hint="eastAsia" w:ascii="仿宋" w:hAnsi="仿宋" w:eastAsia="仿宋"/>
          <w:bCs/>
          <w:spacing w:val="-4"/>
          <w:sz w:val="32"/>
          <w:szCs w:val="32"/>
        </w:rPr>
        <w:t>。</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严格按照教育费附加资金管理使用办法，及时足额支付，确保发挥实效。</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Style w:val="17"/>
          <w:rFonts w:ascii="仿宋" w:hAnsi="仿宋" w:eastAsia="仿宋"/>
          <w:b w:val="0"/>
          <w:spacing w:val="-4"/>
          <w:sz w:val="32"/>
          <w:szCs w:val="32"/>
        </w:rPr>
      </w:pPr>
      <w:r>
        <w:rPr>
          <w:rStyle w:val="17"/>
          <w:rFonts w:ascii="仿宋" w:hAnsi="仿宋" w:eastAsia="仿宋"/>
          <w:b w:val="0"/>
          <w:spacing w:val="-4"/>
          <w:sz w:val="32"/>
          <w:szCs w:val="32"/>
        </w:rPr>
        <w:t>后续工作中，进一步加强资金的监管与使用</w:t>
      </w:r>
      <w:r>
        <w:rPr>
          <w:rStyle w:val="17"/>
          <w:rFonts w:hint="eastAsia" w:ascii="仿宋" w:hAnsi="仿宋" w:eastAsia="仿宋"/>
          <w:b w:val="0"/>
          <w:spacing w:val="-4"/>
          <w:sz w:val="32"/>
          <w:szCs w:val="32"/>
        </w:rPr>
        <w:t>，</w:t>
      </w:r>
      <w:r>
        <w:rPr>
          <w:rStyle w:val="17"/>
          <w:rFonts w:ascii="仿宋" w:hAnsi="仿宋" w:eastAsia="仿宋"/>
          <w:b w:val="0"/>
          <w:spacing w:val="-4"/>
          <w:sz w:val="32"/>
          <w:szCs w:val="32"/>
        </w:rPr>
        <w:t>严格执行三重一大会议精神</w:t>
      </w:r>
      <w:r>
        <w:rPr>
          <w:rStyle w:val="17"/>
          <w:rFonts w:hint="eastAsia" w:ascii="仿宋" w:hAnsi="仿宋" w:eastAsia="仿宋"/>
          <w:b w:val="0"/>
          <w:spacing w:val="-4"/>
          <w:sz w:val="32"/>
          <w:szCs w:val="32"/>
        </w:rPr>
        <w:t>，</w:t>
      </w:r>
      <w:r>
        <w:rPr>
          <w:rStyle w:val="17"/>
          <w:rFonts w:ascii="仿宋" w:hAnsi="仿宋" w:eastAsia="仿宋"/>
          <w:b w:val="0"/>
          <w:spacing w:val="-4"/>
          <w:sz w:val="32"/>
          <w:szCs w:val="32"/>
        </w:rPr>
        <w:t>确保资金落实发挥实效</w:t>
      </w:r>
      <w:r>
        <w:rPr>
          <w:rStyle w:val="17"/>
          <w:rFonts w:hint="eastAsia" w:ascii="仿宋" w:hAnsi="仿宋" w:eastAsia="仿宋"/>
          <w:b w:val="0"/>
          <w:spacing w:val="-4"/>
          <w:sz w:val="32"/>
          <w:szCs w:val="32"/>
        </w:rPr>
        <w:t>。</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教育费</w:t>
      </w:r>
      <w:r>
        <w:rPr>
          <w:rStyle w:val="17"/>
          <w:rFonts w:ascii="仿宋" w:hAnsi="仿宋" w:eastAsia="仿宋"/>
          <w:b w:val="0"/>
          <w:spacing w:val="-4"/>
          <w:sz w:val="32"/>
          <w:szCs w:val="32"/>
        </w:rPr>
        <w:t>附加资金在使用的过程中严格控制资金</w:t>
      </w:r>
      <w:r>
        <w:rPr>
          <w:rStyle w:val="17"/>
          <w:rFonts w:hint="eastAsia" w:ascii="仿宋" w:hAnsi="仿宋" w:eastAsia="仿宋"/>
          <w:b w:val="0"/>
          <w:spacing w:val="-4"/>
          <w:sz w:val="32"/>
          <w:szCs w:val="32"/>
        </w:rPr>
        <w:t>，</w:t>
      </w:r>
      <w:r>
        <w:rPr>
          <w:rStyle w:val="17"/>
          <w:rFonts w:ascii="仿宋" w:hAnsi="仿宋" w:eastAsia="仿宋"/>
          <w:b w:val="0"/>
          <w:spacing w:val="-4"/>
          <w:sz w:val="32"/>
          <w:szCs w:val="32"/>
        </w:rPr>
        <w:t>加强资金的监管与使用</w:t>
      </w:r>
      <w:r>
        <w:rPr>
          <w:rStyle w:val="17"/>
          <w:rFonts w:hint="eastAsia" w:ascii="仿宋" w:hAnsi="仿宋" w:eastAsia="仿宋"/>
          <w:b w:val="0"/>
          <w:spacing w:val="-4"/>
          <w:sz w:val="32"/>
          <w:szCs w:val="32"/>
        </w:rPr>
        <w:t>，</w:t>
      </w:r>
      <w:r>
        <w:rPr>
          <w:rStyle w:val="17"/>
          <w:rFonts w:ascii="仿宋" w:hAnsi="仿宋" w:eastAsia="仿宋"/>
          <w:b w:val="0"/>
          <w:spacing w:val="-4"/>
          <w:sz w:val="32"/>
          <w:szCs w:val="32"/>
        </w:rPr>
        <w:t>严格执行三重一大会议精神</w:t>
      </w:r>
      <w:r>
        <w:rPr>
          <w:rStyle w:val="17"/>
          <w:rFonts w:hint="eastAsia" w:ascii="仿宋" w:hAnsi="仿宋" w:eastAsia="仿宋"/>
          <w:b w:val="0"/>
          <w:spacing w:val="-4"/>
          <w:sz w:val="32"/>
          <w:szCs w:val="32"/>
        </w:rPr>
        <w:t>，</w:t>
      </w:r>
      <w:r>
        <w:rPr>
          <w:rStyle w:val="17"/>
          <w:rFonts w:ascii="仿宋" w:hAnsi="仿宋" w:eastAsia="仿宋"/>
          <w:b w:val="0"/>
          <w:spacing w:val="-4"/>
          <w:sz w:val="32"/>
          <w:szCs w:val="32"/>
        </w:rPr>
        <w:t>确保资金落实发挥实效</w:t>
      </w:r>
      <w:r>
        <w:rPr>
          <w:rStyle w:val="17"/>
          <w:rFonts w:hint="eastAsia" w:ascii="仿宋" w:hAnsi="仿宋" w:eastAsia="仿宋"/>
          <w:b w:val="0"/>
          <w:spacing w:val="-4"/>
          <w:sz w:val="32"/>
          <w:szCs w:val="32"/>
        </w:rPr>
        <w:t>。</w:t>
      </w:r>
    </w:p>
    <w:p>
      <w:pPr>
        <w:spacing w:line="54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存在问题与不足之处：1、因</w:t>
      </w:r>
      <w:r>
        <w:rPr>
          <w:rFonts w:hint="eastAsia" w:ascii="仿宋_GB2312" w:eastAsia="仿宋_GB2312"/>
          <w:kern w:val="0"/>
          <w:sz w:val="32"/>
          <w:szCs w:val="32"/>
        </w:rPr>
        <w:t>我县要确保解决2340名适龄幼儿入园接受学前教育，全面实现县域内学前适龄幼儿“应入尽入”目标。</w:t>
      </w:r>
      <w:r>
        <w:rPr>
          <w:rStyle w:val="17"/>
          <w:rFonts w:hint="eastAsia" w:ascii="仿宋" w:hAnsi="仿宋" w:eastAsia="仿宋"/>
          <w:b w:val="0"/>
          <w:spacing w:val="-4"/>
          <w:sz w:val="32"/>
          <w:szCs w:val="32"/>
        </w:rPr>
        <w:t>幼儿园建设项目工期比较紧，导致后续的整改与维修项目比较多，水、暖、电、管道建设、消防等面临考验。</w:t>
      </w:r>
    </w:p>
    <w:p>
      <w:pPr>
        <w:spacing w:line="54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2、资金不足，部分采购资金未及时支付，还需进一步筹措资金，艰苦创业。勤俭持家。</w:t>
      </w:r>
    </w:p>
    <w:p>
      <w:pPr>
        <w:spacing w:line="540" w:lineRule="exact"/>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spacing w:line="540" w:lineRule="exact"/>
        <w:ind w:firstLine="640"/>
        <w:rPr>
          <w:rStyle w:val="17"/>
          <w:rFonts w:ascii="仿宋_GB2312" w:eastAsia="仿宋_GB2312"/>
          <w:b w:val="0"/>
          <w:bCs w:val="0"/>
          <w:kern w:val="0"/>
          <w:sz w:val="32"/>
          <w:szCs w:val="32"/>
        </w:rPr>
      </w:pPr>
      <w:r>
        <w:rPr>
          <w:rFonts w:hint="eastAsia" w:ascii="仿宋_GB2312" w:eastAsia="仿宋_GB2312"/>
          <w:kern w:val="0"/>
          <w:sz w:val="32"/>
          <w:szCs w:val="32"/>
        </w:rPr>
        <w:t>且末县教育费附加项目-且末县第二小学建设项目在县各部们积极配合下，在局领导及工作人员的共同努力下，及时收集项目建设过程中的招投标、项目建设合同、发票、会计凭证等档案资料，并精心整理、分类、归档，档案资料有专人保管，确保项目顺利验收通过。在项目实施过程中项目办工作人员、施工方、监理等第三方定期去项目建设地现场勘验检查，确保工程质量，确保项目按期顺利完成。</w:t>
      </w:r>
    </w:p>
    <w:p>
      <w:pPr>
        <w:spacing w:line="640" w:lineRule="exact"/>
        <w:ind w:firstLine="624" w:firstLineChars="200"/>
        <w:rPr>
          <w:rFonts w:ascii="仿宋_GB2312" w:eastAsia="仿宋_GB2312"/>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7</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0A6BC8"/>
    <w:rsid w:val="00117A36"/>
    <w:rsid w:val="00121AE4"/>
    <w:rsid w:val="00146AAD"/>
    <w:rsid w:val="00175A74"/>
    <w:rsid w:val="001B3A40"/>
    <w:rsid w:val="002574E5"/>
    <w:rsid w:val="00275082"/>
    <w:rsid w:val="003077A5"/>
    <w:rsid w:val="003442EB"/>
    <w:rsid w:val="003908B7"/>
    <w:rsid w:val="003F34F9"/>
    <w:rsid w:val="004366A8"/>
    <w:rsid w:val="00470A2A"/>
    <w:rsid w:val="00474DD9"/>
    <w:rsid w:val="0048046F"/>
    <w:rsid w:val="004D4F0F"/>
    <w:rsid w:val="00502BA7"/>
    <w:rsid w:val="005162F1"/>
    <w:rsid w:val="00535153"/>
    <w:rsid w:val="00554F82"/>
    <w:rsid w:val="0056390D"/>
    <w:rsid w:val="005719B0"/>
    <w:rsid w:val="005A7F2E"/>
    <w:rsid w:val="005D10D6"/>
    <w:rsid w:val="006D62E9"/>
    <w:rsid w:val="006E6BB4"/>
    <w:rsid w:val="00737632"/>
    <w:rsid w:val="007C59A9"/>
    <w:rsid w:val="00855E3A"/>
    <w:rsid w:val="008F45BB"/>
    <w:rsid w:val="009135F2"/>
    <w:rsid w:val="00922CB9"/>
    <w:rsid w:val="0094065B"/>
    <w:rsid w:val="009705A6"/>
    <w:rsid w:val="009E18C7"/>
    <w:rsid w:val="009E5CD9"/>
    <w:rsid w:val="00A12964"/>
    <w:rsid w:val="00A26421"/>
    <w:rsid w:val="00A4293B"/>
    <w:rsid w:val="00A560DA"/>
    <w:rsid w:val="00A67D50"/>
    <w:rsid w:val="00A80A47"/>
    <w:rsid w:val="00A8448B"/>
    <w:rsid w:val="00A8691A"/>
    <w:rsid w:val="00AA6EA6"/>
    <w:rsid w:val="00AC13BC"/>
    <w:rsid w:val="00AC186F"/>
    <w:rsid w:val="00AC1946"/>
    <w:rsid w:val="00AF661B"/>
    <w:rsid w:val="00B40063"/>
    <w:rsid w:val="00B41F61"/>
    <w:rsid w:val="00B4667C"/>
    <w:rsid w:val="00BA46E6"/>
    <w:rsid w:val="00C07257"/>
    <w:rsid w:val="00C56C72"/>
    <w:rsid w:val="00C832C8"/>
    <w:rsid w:val="00CA6457"/>
    <w:rsid w:val="00CA73EE"/>
    <w:rsid w:val="00CD5BBA"/>
    <w:rsid w:val="00D17F2E"/>
    <w:rsid w:val="00D30354"/>
    <w:rsid w:val="00DC26E8"/>
    <w:rsid w:val="00DF42A0"/>
    <w:rsid w:val="00E06E31"/>
    <w:rsid w:val="00E769FE"/>
    <w:rsid w:val="00EA2CBE"/>
    <w:rsid w:val="00EB28F6"/>
    <w:rsid w:val="00F01234"/>
    <w:rsid w:val="00F24947"/>
    <w:rsid w:val="00F32FEE"/>
    <w:rsid w:val="00F55098"/>
    <w:rsid w:val="00FB10BB"/>
    <w:rsid w:val="00FE305B"/>
    <w:rsid w:val="058D725E"/>
    <w:rsid w:val="362C46E0"/>
    <w:rsid w:val="523B71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2"/>
    <w:qFormat/>
    <w:uiPriority w:val="9"/>
    <w:rPr>
      <w:rFonts w:asciiTheme="majorHAnsi" w:hAnsiTheme="majorHAnsi" w:eastAsiaTheme="majorEastAsia"/>
      <w:b/>
      <w:bCs/>
      <w:kern w:val="32"/>
      <w:sz w:val="32"/>
      <w:szCs w:val="32"/>
    </w:rPr>
  </w:style>
  <w:style w:type="character" w:customStyle="1" w:styleId="21">
    <w:name w:val="标题 2 Char"/>
    <w:basedOn w:val="16"/>
    <w:link w:val="3"/>
    <w:semiHidden/>
    <w:qFormat/>
    <w:uiPriority w:val="9"/>
    <w:rPr>
      <w:rFonts w:asciiTheme="majorHAnsi" w:hAnsiTheme="majorHAnsi" w:eastAsiaTheme="majorEastAsia"/>
      <w:b/>
      <w:bCs/>
      <w:i/>
      <w:iCs/>
      <w:sz w:val="28"/>
      <w:szCs w:val="28"/>
    </w:rPr>
  </w:style>
  <w:style w:type="character" w:customStyle="1" w:styleId="22">
    <w:name w:val="标题 3 Char"/>
    <w:basedOn w:val="16"/>
    <w:link w:val="4"/>
    <w:semiHidden/>
    <w:qFormat/>
    <w:uiPriority w:val="9"/>
    <w:rPr>
      <w:rFonts w:asciiTheme="majorHAnsi" w:hAnsiTheme="majorHAnsi" w:eastAsiaTheme="majorEastAsia"/>
      <w:b/>
      <w:bCs/>
      <w:sz w:val="26"/>
      <w:szCs w:val="26"/>
    </w:rPr>
  </w:style>
  <w:style w:type="character" w:customStyle="1" w:styleId="23">
    <w:name w:val="标题 4 Char"/>
    <w:basedOn w:val="16"/>
    <w:link w:val="5"/>
    <w:semiHidden/>
    <w:qFormat/>
    <w:uiPriority w:val="9"/>
    <w:rPr>
      <w:b/>
      <w:bCs/>
      <w:sz w:val="28"/>
      <w:szCs w:val="28"/>
    </w:rPr>
  </w:style>
  <w:style w:type="character" w:customStyle="1" w:styleId="24">
    <w:name w:val="标题 5 Char"/>
    <w:basedOn w:val="16"/>
    <w:link w:val="6"/>
    <w:semiHidden/>
    <w:uiPriority w:val="9"/>
    <w:rPr>
      <w:b/>
      <w:bCs/>
      <w:i/>
      <w:iCs/>
      <w:sz w:val="26"/>
      <w:szCs w:val="26"/>
    </w:rPr>
  </w:style>
  <w:style w:type="character" w:customStyle="1" w:styleId="25">
    <w:name w:val="标题 6 Char"/>
    <w:basedOn w:val="16"/>
    <w:link w:val="7"/>
    <w:semiHidden/>
    <w:qFormat/>
    <w:uiPriority w:val="9"/>
    <w:rPr>
      <w:b/>
      <w:bCs/>
    </w:rPr>
  </w:style>
  <w:style w:type="character" w:customStyle="1" w:styleId="26">
    <w:name w:val="标题 7 Char"/>
    <w:basedOn w:val="16"/>
    <w:link w:val="8"/>
    <w:semiHidden/>
    <w:uiPriority w:val="9"/>
    <w:rPr>
      <w:sz w:val="24"/>
      <w:szCs w:val="24"/>
    </w:rPr>
  </w:style>
  <w:style w:type="character" w:customStyle="1" w:styleId="27">
    <w:name w:val="标题 8 Char"/>
    <w:basedOn w:val="16"/>
    <w:link w:val="9"/>
    <w:semiHidden/>
    <w:uiPriority w:val="9"/>
    <w:rPr>
      <w:i/>
      <w:iCs/>
      <w:sz w:val="24"/>
      <w:szCs w:val="24"/>
    </w:rPr>
  </w:style>
  <w:style w:type="character" w:customStyle="1" w:styleId="28">
    <w:name w:val="标题 9 Char"/>
    <w:basedOn w:val="16"/>
    <w:link w:val="10"/>
    <w:semiHidden/>
    <w:uiPriority w:val="9"/>
    <w:rPr>
      <w:rFonts w:asciiTheme="majorHAnsi" w:hAnsiTheme="majorHAnsi" w:eastAsiaTheme="majorEastAsia"/>
    </w:rPr>
  </w:style>
  <w:style w:type="character" w:customStyle="1" w:styleId="29">
    <w:name w:val="标题 Char"/>
    <w:basedOn w:val="16"/>
    <w:link w:val="15"/>
    <w:uiPriority w:val="10"/>
    <w:rPr>
      <w:rFonts w:asciiTheme="majorHAnsi" w:hAnsiTheme="majorHAnsi" w:eastAsiaTheme="majorEastAsia"/>
      <w:b/>
      <w:bCs/>
      <w:kern w:val="28"/>
      <w:sz w:val="32"/>
      <w:szCs w:val="32"/>
    </w:rPr>
  </w:style>
  <w:style w:type="character" w:customStyle="1" w:styleId="30">
    <w:name w:val="副标题 Char"/>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qFormat/>
    <w:uiPriority w:val="30"/>
    <w:rPr>
      <w:b/>
      <w:i/>
      <w:sz w:val="24"/>
    </w:rPr>
  </w:style>
  <w:style w:type="character" w:customStyle="1" w:styleId="37">
    <w:name w:val="Subtle Emphasis"/>
    <w:qFormat/>
    <w:uiPriority w:val="19"/>
    <w:rPr>
      <w:i/>
      <w:color w:val="595959" w:themeColor="text1" w:themeTint="A5"/>
    </w:rPr>
  </w:style>
  <w:style w:type="character" w:customStyle="1" w:styleId="38">
    <w:name w:val="Intense Emphasis"/>
    <w:basedOn w:val="16"/>
    <w:qFormat/>
    <w:uiPriority w:val="21"/>
    <w:rPr>
      <w:b/>
      <w:i/>
      <w:sz w:val="24"/>
      <w:szCs w:val="24"/>
      <w:u w:val="single"/>
    </w:rPr>
  </w:style>
  <w:style w:type="character" w:customStyle="1" w:styleId="39">
    <w:name w:val="Subtle Reference"/>
    <w:basedOn w:val="16"/>
    <w:qFormat/>
    <w:uiPriority w:val="31"/>
    <w:rPr>
      <w:sz w:val="24"/>
      <w:szCs w:val="24"/>
      <w:u w:val="single"/>
    </w:rPr>
  </w:style>
  <w:style w:type="character" w:customStyle="1" w:styleId="40">
    <w:name w:val="Intense Reference"/>
    <w:basedOn w:val="16"/>
    <w:qFormat/>
    <w:uiPriority w:val="32"/>
    <w:rPr>
      <w:b/>
      <w:sz w:val="24"/>
      <w:u w:val="single"/>
    </w:rPr>
  </w:style>
  <w:style w:type="character" w:customStyle="1" w:styleId="41">
    <w:name w:val="Book Title"/>
    <w:basedOn w:val="16"/>
    <w:qFormat/>
    <w:uiPriority w:val="33"/>
    <w:rPr>
      <w:rFonts w:asciiTheme="majorHAnsi" w:hAnsiTheme="majorHAnsi" w:eastAsiaTheme="majorEastAsia"/>
      <w:b/>
      <w:i/>
      <w:sz w:val="24"/>
      <w:szCs w:val="24"/>
    </w:rPr>
  </w:style>
  <w:style w:type="paragraph" w:customStyle="1" w:styleId="42">
    <w:name w:val="TOC Heading"/>
    <w:basedOn w:val="2"/>
    <w:next w:val="1"/>
    <w:unhideWhenUsed/>
    <w:qFormat/>
    <w:uiPriority w:val="39"/>
    <w:pPr>
      <w:outlineLvl w:val="9"/>
    </w:pPr>
    <w:rPr>
      <w:lang w:eastAsia="en-US" w:bidi="en-US"/>
    </w:rPr>
  </w:style>
  <w:style w:type="character" w:customStyle="1" w:styleId="43">
    <w:name w:val="页眉 Char"/>
    <w:basedOn w:val="16"/>
    <w:link w:val="13"/>
    <w:qFormat/>
    <w:uiPriority w:val="99"/>
    <w:rPr>
      <w:rFonts w:ascii="Calibri" w:hAnsi="Calibri" w:eastAsia="宋体"/>
      <w:kern w:val="2"/>
      <w:sz w:val="18"/>
      <w:szCs w:val="18"/>
    </w:rPr>
  </w:style>
  <w:style w:type="character" w:customStyle="1" w:styleId="44">
    <w:name w:val="页脚 Char"/>
    <w:basedOn w:val="16"/>
    <w:link w:val="12"/>
    <w:qFormat/>
    <w:uiPriority w:val="99"/>
    <w:rPr>
      <w:rFonts w:ascii="Calibri" w:hAnsi="Calibri" w:eastAsia="宋体"/>
      <w:kern w:val="2"/>
      <w:sz w:val="18"/>
      <w:szCs w:val="18"/>
    </w:rPr>
  </w:style>
  <w:style w:type="character" w:customStyle="1" w:styleId="45">
    <w:name w:val="批注框文本 Char"/>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445</Words>
  <Characters>2537</Characters>
  <Lines>21</Lines>
  <Paragraphs>5</Paragraphs>
  <ScaleCrop>false</ScaleCrop>
  <LinksUpToDate>false</LinksUpToDate>
  <CharactersWithSpaces>2977</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2019-11-19T08:24:09Z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