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且末县医疗保障局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国家、自治区、自治州关于医疗保险、医疗救助等医疗保障制度、政策法律法规和标准及实施办法，贯彻落实自治州医疗保障工作发展规划、政策办法，并组织实施和监督检查；组织实施大额医疗补助、公务员医疗补助、企事业单位补充医疗保险、离休人员和优抚对象医疗保障等政策管理办法。</w:t>
      </w:r>
    </w:p>
    <w:p>
      <w:pPr>
        <w:spacing w:line="580" w:lineRule="exact"/>
        <w:ind w:firstLine="640"/>
        <w:jc w:val="both"/>
      </w:pPr>
      <w:r>
        <w:rPr>
          <w:rFonts w:ascii="仿宋_GB2312" w:hAnsi="仿宋_GB2312" w:eastAsia="仿宋_GB2312"/>
          <w:sz w:val="32"/>
        </w:rPr>
        <w:t>2.组织实施医疗保障基金监督管理办法，建立健全医疗保障基金安全防控机制，承担推进医疗保障基金支付方式改革工作。</w:t>
      </w:r>
    </w:p>
    <w:p>
      <w:pPr>
        <w:spacing w:line="580" w:lineRule="exact"/>
        <w:ind w:firstLine="640"/>
        <w:jc w:val="both"/>
      </w:pPr>
      <w:r>
        <w:rPr>
          <w:rFonts w:ascii="仿宋_GB2312" w:hAnsi="仿宋_GB2312" w:eastAsia="仿宋_GB2312"/>
          <w:sz w:val="32"/>
        </w:rPr>
        <w:t>3.认真落实自治州医疗保障筹资和待遇政策、城乡医疗保障待遇标准、待遇调整工作。</w:t>
      </w:r>
    </w:p>
    <w:p>
      <w:pPr>
        <w:spacing w:line="580" w:lineRule="exact"/>
        <w:ind w:firstLine="640"/>
        <w:jc w:val="both"/>
      </w:pPr>
      <w:r>
        <w:rPr>
          <w:rFonts w:ascii="仿宋_GB2312" w:hAnsi="仿宋_GB2312" w:eastAsia="仿宋_GB2312"/>
          <w:sz w:val="32"/>
        </w:rPr>
        <w:t>4.负责监督全县药品、医用耗材的招标采购政策执行情况负责药品和医用耗材集中采购平台建设。</w:t>
      </w:r>
    </w:p>
    <w:p>
      <w:pPr>
        <w:spacing w:line="580" w:lineRule="exact"/>
        <w:ind w:firstLine="640"/>
        <w:jc w:val="both"/>
      </w:pPr>
      <w:r>
        <w:rPr>
          <w:rFonts w:ascii="仿宋_GB2312" w:hAnsi="仿宋_GB2312" w:eastAsia="仿宋_GB2312"/>
          <w:sz w:val="32"/>
        </w:rPr>
        <w:t>5.组织实施定点医疗机构协议和支出管理办法，建立健全医疗保障信息评价体系和信息披露制度，监督管理纳入医保范围内的医疗服务行为和医疗费用，依法查处医疗保障、生育保险领域违法违规行为。</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且末县医疗保障局无下属预算单位。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2025年度收入总计266.43万元，</w:t>
      </w:r>
      <w:r>
        <w:rPr>
          <w:rFonts w:ascii="仿宋_GB2312" w:hAnsi="仿宋_GB2312" w:eastAsia="仿宋_GB2312"/>
          <w:b w:val="0"/>
          <w:sz w:val="32"/>
        </w:rPr>
        <w:t>其中：本年收入合计266.38万元，使用非财政拨款结余（含专用结余）0.00万元，年初结转和结余0.05万元。</w:t>
      </w:r>
    </w:p>
    <w:p>
      <w:pPr>
        <w:spacing w:line="580" w:lineRule="exact"/>
        <w:ind w:firstLine="640"/>
        <w:jc w:val="both"/>
      </w:pPr>
      <w:r>
        <w:rPr>
          <w:rFonts w:ascii="仿宋_GB2312" w:hAnsi="仿宋_GB2312" w:eastAsia="仿宋_GB2312"/>
          <w:b/>
          <w:sz w:val="32"/>
        </w:rPr>
        <w:t>2025年度支出总计266.43万元，</w:t>
      </w:r>
      <w:r>
        <w:rPr>
          <w:rFonts w:ascii="仿宋_GB2312" w:hAnsi="仿宋_GB2312" w:eastAsia="仿宋_GB2312"/>
          <w:b w:val="0"/>
          <w:sz w:val="32"/>
        </w:rPr>
        <w:t>其中：本年支出合计266.43万元，结余分配0.00万元，年末结转和结余0.00万元。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增加23.35万元，增长9.61%，主要原因是：本年在职人员增加，在职人员工资调增、社保、公积金基数调增，人员经费增加，因此本年度收入增加。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本年收入266.38万元，</w:t>
      </w:r>
      <w:r>
        <w:rPr>
          <w:rFonts w:ascii="仿宋_GB2312" w:hAnsi="仿宋_GB2312" w:eastAsia="仿宋_GB2312"/>
          <w:b w:val="0"/>
          <w:sz w:val="32"/>
        </w:rPr>
        <w:t>其中：财政拨款收入266.38万元，占100.00%；上级补助收入0.00万元，占0.00%；事业收入0.00万元，占0.00%；经营收入0.00万元，占0.00%；附属单位上缴收入0.00万元，占0.00%；其他收入0.00万元，占0.00%。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本年支出266.43万元，</w:t>
      </w:r>
      <w:r>
        <w:rPr>
          <w:rFonts w:ascii="仿宋_GB2312" w:hAnsi="仿宋_GB2312" w:eastAsia="仿宋_GB2312"/>
          <w:b w:val="0"/>
          <w:sz w:val="32"/>
        </w:rPr>
        <w:t>其中：基本支出266.43万元，占100.00%；项目支出0.00万元，占0.00%；上缴上级支出0.00万元，占0.00%；经营支出0.00万元，占0.00%；对附属单位补助支出0.00万元，占0.00%。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2025年度财政拨款收入总计266.38万元，</w:t>
      </w:r>
      <w:r>
        <w:rPr>
          <w:rFonts w:ascii="仿宋_GB2312" w:hAnsi="仿宋_GB2312" w:eastAsia="仿宋_GB2312"/>
          <w:b w:val="0"/>
          <w:sz w:val="32"/>
        </w:rPr>
        <w:t>其中：年初财政拨款结转和结余0.00万元，本年财政拨款收入266.38万元。</w:t>
      </w:r>
      <w:r>
        <w:rPr>
          <w:rFonts w:ascii="仿宋_GB2312" w:hAnsi="仿宋_GB2312" w:eastAsia="仿宋_GB2312"/>
          <w:b/>
          <w:sz w:val="32"/>
        </w:rPr>
        <w:t>财政拨款支出总计266.38万元，</w:t>
      </w:r>
      <w:r>
        <w:rPr>
          <w:rFonts w:ascii="仿宋_GB2312" w:hAnsi="仿宋_GB2312" w:eastAsia="仿宋_GB2312"/>
          <w:b w:val="0"/>
          <w:sz w:val="32"/>
        </w:rPr>
        <w:t>其中：年末财政拨款结转和结余0.00万元，本年财政拨款支出266.38万元。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增加23.35万元，增长9.61%，主要原因是：本年在职人员增加，在职人员工资调增、社保、公积金基数调增，人员经费增加，因此财政拨款收入总计增加。</w:t>
      </w:r>
      <w:r>
        <w:rPr>
          <w:rFonts w:ascii="仿宋_GB2312" w:hAnsi="仿宋_GB2312" w:eastAsia="仿宋_GB2312"/>
          <w:b/>
          <w:sz w:val="32"/>
        </w:rPr>
        <w:t>与年初预算相比，</w:t>
      </w:r>
      <w:r>
        <w:rPr>
          <w:rFonts w:ascii="仿宋_GB2312" w:hAnsi="仿宋_GB2312" w:eastAsia="仿宋_GB2312"/>
          <w:b w:val="0"/>
          <w:sz w:val="32"/>
        </w:rPr>
        <w:t>年初预算数227.19万元，决算数266.38万元，预决算差异率17.25%，主要原因是：本年在职人员增加，年中追加人员经费及人员工资、社保、公积金基数调增部分资金，导致预决算存在差异。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医疗保障管理事务（款）行政运行（项）的支出占本年财政拨款支出总额的比重最高，2025年度决算数为198.53万元，占比74.53%，主要用于职工基本工资、津贴补贴、绩效工资以及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2025年度一般公共预算财政拨款支出266.38万元，</w:t>
      </w:r>
      <w:r>
        <w:rPr>
          <w:rFonts w:ascii="仿宋_GB2312" w:hAnsi="仿宋_GB2312" w:eastAsia="仿宋_GB2312"/>
          <w:b w:val="0"/>
          <w:sz w:val="32"/>
        </w:rPr>
        <w:t>占本年支出合计的99.98%。</w:t>
      </w:r>
      <w:r>
        <w:rPr>
          <w:rFonts w:ascii="仿宋_GB2312" w:hAnsi="仿宋_GB2312" w:eastAsia="仿宋_GB2312"/>
          <w:b/>
          <w:sz w:val="32"/>
        </w:rPr>
        <w:t>与上年相比，</w:t>
      </w:r>
      <w:r>
        <w:rPr>
          <w:rFonts w:ascii="仿宋_GB2312" w:hAnsi="仿宋_GB2312" w:eastAsia="仿宋_GB2312"/>
          <w:b w:val="0"/>
          <w:sz w:val="32"/>
        </w:rPr>
        <w:t>增加23.35万元，增长9.61%，主要原因是：本年在职人员增加，在职人员工资调增、社保、公积金基数调增，人员经费增加。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年初预算数227.19万元，决算数266.38万元，预决算差异率17.25%，主要原因是：本年在职人员增加，年中追加人员经费及人员工资、社保、公积金基数调增部分资金，导致预决算存在差异。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1.社会保障和就业支出（类）30.02万元，占11.27%。</w:t>
      </w:r>
    </w:p>
    <w:p>
      <w:pPr>
        <w:spacing w:line="580" w:lineRule="exact"/>
        <w:ind w:firstLine="640"/>
        <w:jc w:val="both"/>
      </w:pPr>
      <w:r>
        <w:rPr>
          <w:rFonts w:ascii="仿宋_GB2312" w:hAnsi="仿宋_GB2312" w:eastAsia="仿宋_GB2312"/>
          <w:b w:val="0"/>
          <w:sz w:val="32"/>
        </w:rPr>
        <w:t>2.卫生健康支出（类）214.02万元，占80.34%。</w:t>
      </w:r>
    </w:p>
    <w:p>
      <w:pPr>
        <w:spacing w:line="580" w:lineRule="exact"/>
        <w:ind w:firstLine="640"/>
        <w:jc w:val="both"/>
      </w:pPr>
      <w:r>
        <w:rPr>
          <w:rFonts w:ascii="仿宋_GB2312" w:hAnsi="仿宋_GB2312" w:eastAsia="仿宋_GB2312"/>
          <w:b w:val="0"/>
          <w:sz w:val="32"/>
        </w:rPr>
        <w:t>3.住房保障支出（类）22.33万元，占8.38%。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1.社会保障和就业支出（类）行政事业单位养老支出（款）行政单位离退休（项）：支出决算数为2.00万元，比上年决算增加1.44万元，增长257.14%，主要原因是：本年增加退休人员基础绩效奖，退休费支出增加。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28.03万元，比上年决算增加4.07万元，增长16.99%，主要原因是：本年在职人员增加，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0.00万元，比上年决算减少13.97万元，下降100.00%，主要原因是：本年无新增退休人员，职业年金缴费较上年减少。</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4.卫生健康支出（类）行政事业单位医疗（款）行政单位医疗（项）：支出决算数为10.94万元，比上年决算增加0.10万元，增长0.92%，主要原因是：本年在职人员工资基数调增，医疗缴费基数上涨，相应支出增加。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1.54万元，比上年决算减少0.13万元，下降7.78%，主要原因是：本年行政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6.卫生健康支出（类）医疗保障管理事务（款）行政运行（项）：支出决算数为198.53万元，比上年决算增加29.13万元，增长17.20%，主要原因是：本年新增在职人员，人员工资调增，人员经费增加，导致经费较上年有所增加。</w:t>
      </w:r>
    </w:p>
    <w:p>
      <w:pPr>
        <w:spacing w:line="580" w:lineRule="exact"/>
        <w:ind w:firstLine="640"/>
        <w:jc w:val="both"/>
      </w:pPr>
      <w:r>
        <w:rPr>
          <w:rFonts w:ascii="仿宋_GB2312" w:hAnsi="仿宋_GB2312" w:eastAsia="仿宋_GB2312"/>
          <w:b w:val="0"/>
          <w:sz w:val="32"/>
        </w:rPr>
        <w:t>7.卫生健康支出（类）医疗保障管理事务（款）其他医疗保障管理事务支出（项）：支出决算数为3.00万元，比上年决算减少0.50万元，下降14.29%，主要原因是：本年此科目减少办公费，相应经费较上年减少。</w:t>
      </w:r>
    </w:p>
    <w:p>
      <w:pPr>
        <w:spacing w:line="580" w:lineRule="exact"/>
        <w:ind w:firstLine="640"/>
        <w:jc w:val="both"/>
      </w:pPr>
      <w:r>
        <w:rPr>
          <w:rFonts w:ascii="仿宋_GB2312" w:hAnsi="仿宋_GB2312" w:eastAsia="仿宋_GB2312"/>
          <w:b w:val="0"/>
          <w:sz w:val="32"/>
        </w:rPr>
        <w:t>8.住房保障支出（类）住房改革支出（款）住房公积金（项）：支出决算数为22.33万元，比上年决算增加3.19万元，增长16.67%，主要原因是：本年在职人员工资基数调增，公积金缴费基数上涨，相应支出增加。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2025年度一般公共预算财政拨款基本支出266.38万元，其中：</w:t>
      </w:r>
      <w:r>
        <w:rPr>
          <w:rFonts w:ascii="仿宋_GB2312" w:hAnsi="仿宋_GB2312" w:eastAsia="仿宋_GB2312"/>
          <w:b/>
          <w:sz w:val="32"/>
        </w:rPr>
        <w:t>人员经费256.85万元，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公用经费9.53万元，</w:t>
      </w:r>
      <w:r>
        <w:rPr>
          <w:rFonts w:ascii="仿宋_GB2312" w:hAnsi="仿宋_GB2312" w:eastAsia="仿宋_GB2312"/>
          <w:b w:val="0"/>
          <w:sz w:val="32"/>
        </w:rPr>
        <w:t>包括：办公费、水费、电费、邮电费、物业管理费、差旅费、维修（护）费、委托业务费、公务用车运行维护费、其他商品和服务支出、办公设备购置。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2025年度财政拨款“三公”经费支出2.49万元，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公务用车购置及运行维护费支出2.49万元，占100.00%，比上年增加0.00万元，增长0.00%，主要原因是：本单位公务用车购置及运行维护费与上年一致无变化。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2.49万元，其中：公务用车购置费0.00万元，公务用车运行维护费2.49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2.49万元，决算数2.49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2.49万元，决算数2.49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2025年度且末县医疗保障局（行政单位和参照公务员法管理事业单位）机关运行经费支出9.53万元，比上年减少1.06万元，下降10.01%，主要原因是：严控经费支出，厉行节约，减少经费支出。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2025年度政府采购支出总额1.48万元，其中：政府采购货物支出0.79万元、政府采购工程支出0.00万元、政府采购服务支出0.69万元。</w:t>
      </w:r>
    </w:p>
    <w:p>
      <w:pPr>
        <w:spacing w:line="580" w:lineRule="exact"/>
        <w:ind w:firstLine="640"/>
        <w:jc w:val="both"/>
      </w:pPr>
      <w:r>
        <w:rPr>
          <w:rFonts w:ascii="仿宋_GB2312" w:hAnsi="仿宋_GB2312" w:eastAsia="仿宋_GB2312"/>
          <w:b w:val="0"/>
          <w:sz w:val="32"/>
        </w:rPr>
        <w:t>授予中小企业合同金额1.48万元，占政府采购支出总额的100.00%，其中：授予小微企业合同金额1.12万元，占政府采购支出总额的75.68%。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16.47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266.43万元，实际执行总额266.42万元；预算绩效评价项目2个，全年预算数3.05万元，全年执行数3.05万元。预算绩效管理取得的成效：一是积极推进全民参保计划，城乡居民基本医疗保险参保率稳定在95%以上；二是县级城乡居民基本医疗保险配套资金落实到位，确保城乡居民基本医疗保险参保人的医疗待遇落实；三是进一步强化医疗补助资金规范管理，减轻参保人的经济负担，缓解社会矛盾；四是通过有力监管，看病就医更有保障，不断提高参保群众的获得感、幸福感。发现的问题及原因：项目绩效目标级绩效指标设置过于笼统，不够细化，在实际实施绩效监控和绩效评价时较为困难。绩效目标的设置应符合量化、细化的要求。下一步改进措施：一是多进行有关绩效管理工作方面的培训。积极组织第三方开展绩效管理工作培训，进一步夯实业务基础，提高我单位绩效人员水平；二是专门设定对绩效工作人员定职、定岗、定责等相关制度措施，进一步提升我单位绩效管理工作业务水平，扎实做好绩效管理工作；三是进一步规范项目建设的程序。项目前期做好可行性研究报告，更加细化实施方案，严格执行资金管理办法和财政资金管理制度，严格按照项目实施方案、招投标管理办法等稳步推进工作，各部门单位根据自己项目的特点进行总结；四是进一步完善项目评价过程中有关数据和资料的收集、整理、审核及分析。项目启动时同步做好档案的归纳与整理，及时整理、收集、汇总，健全档案资料。项目后续管理有待进一步加强和跟踪。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且末县医疗保障局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227.23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266.43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266.42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224.19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266.43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266.42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2025年医保局年度预算总额227.23万元。目标1：积极推进全民参保计划，城乡居民医疗参保人数大于等于49466人，参保率稳定在95%以上，通过财政补助促进居民缴费，提高参保群众健康收益水平。强化医疗补助资金规范管理，确保医保基金监管追回率达100%，参保群众满意度达90%以上，进一步减轻参保人的经济负担，解决看病难，看病贵的问题，防止因病返贫，缓解社会矛盾。</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城乡居民医疗参保人数为48664人，参保率达96.81%，通过财政补助促进居民缴费，提高参保群众健康收益水平。强化医疗补助资金规范管理，确保医保基金监管追回率达100%，进一步减轻参保人的经济负担，解决看病难，看病贵的问题，防止因病返贫，缓解社会矛盾。</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城乡居民医疗参保覆盖率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部门工作计划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=96.81%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医保基金监管违规资金追回率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部门工作计划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城乡居民医疗保险参保人数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&gt;=49466人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国家医保统计系统</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=48664人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29.51</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99.51</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全民参保及医疗服务经费项目</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且末县医疗保障局本级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且末县医疗保障局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3万元，1.2万元用于网络运营维护费，1.8万元用于办公经费。深入实施全民参保计划，完成基本医疗保险参保率保持在95%以上的目标，落实公民依法参加医保的权利和义务，引导公民增强自身健康第一责任人意识和主动参保意识。</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支付于网络运营维护费1.2万元，办公费支付1.8万元，基本医疗保险参保率达96.81%，医疗保险参保人员满意度达95%。</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信息化建设运营单位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当年财政补助资金到位率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按时报送各项社会保险基金季报数据及分析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每季度结束后的15日内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每季度结束后的15日内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按时完成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及时报送各项社会基金决算数据及分析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每年度结束后的20日内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每年度结束后的20日内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按时完成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网络运营维护费成本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办公经费成本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减轻参保人员就医经济负担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效果显著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医疗保险参保人员满意度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征收个税手续费返还收入</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且末县医疗保障局本级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且末县医疗保障局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本项目总额464.81元，全部用于电费支付，支付电费户数是1户，成功率100%，处理时长大于等于1天，保证了单位办公用电正常，实现了资金的合理利用，达到了不影响单位办理业务的效果。</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所有资金均用于支付电费合计464.81元，保证了单位办公用电正常，实现了资金的合理利用，达到了不影响单位办理业务的效果。</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支付电费用户数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支付电费成功率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支付电费处理时长</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支付手续费率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电费支付额度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&lt;=464.81元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=464.81元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业务水平提升度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效果显著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用户满意度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