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E1098">
      <w:pPr>
        <w:rPr>
          <w:rFonts w:hint="eastAsia" w:ascii="黑体" w:hAnsi="黑体" w:eastAsia="黑体"/>
          <w:sz w:val="32"/>
          <w:szCs w:val="32"/>
        </w:rPr>
      </w:pPr>
    </w:p>
    <w:p w14:paraId="7E2F62AB">
      <w:pPr>
        <w:jc w:val="center"/>
        <w:rPr>
          <w:rFonts w:hint="eastAsia" w:ascii="方正小标宋_GBK" w:hAnsi="宋体" w:eastAsia="方正小标宋_GBK"/>
          <w:sz w:val="44"/>
          <w:szCs w:val="44"/>
        </w:rPr>
      </w:pPr>
    </w:p>
    <w:p w14:paraId="7AE936F3">
      <w:pPr>
        <w:jc w:val="center"/>
        <w:rPr>
          <w:rFonts w:hint="eastAsia" w:ascii="方正小标宋_GBK" w:hAnsi="宋体" w:eastAsia="方正小标宋_GBK"/>
          <w:sz w:val="44"/>
          <w:szCs w:val="44"/>
        </w:rPr>
      </w:pPr>
    </w:p>
    <w:p w14:paraId="5FEDF9CB">
      <w:pPr>
        <w:jc w:val="center"/>
        <w:rPr>
          <w:rFonts w:hint="eastAsia" w:ascii="方正小标宋_GBK" w:hAnsi="宋体" w:eastAsia="方正小标宋_GBK"/>
          <w:sz w:val="44"/>
          <w:szCs w:val="44"/>
        </w:rPr>
      </w:pPr>
    </w:p>
    <w:p w14:paraId="4794C1C7">
      <w:pPr>
        <w:jc w:val="center"/>
        <w:rPr>
          <w:rFonts w:hint="eastAsia" w:ascii="方正小标宋_GBK" w:hAnsi="宋体" w:eastAsia="方正小标宋_GBK"/>
          <w:sz w:val="44"/>
          <w:szCs w:val="44"/>
        </w:rPr>
      </w:pPr>
    </w:p>
    <w:p w14:paraId="2FB3E0A1">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中共且末县委员会组织部</w:t>
      </w:r>
    </w:p>
    <w:p w14:paraId="55AD8026">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bookmarkStart w:id="0" w:name="_GoBack"/>
      <w:bookmarkEnd w:id="0"/>
      <w:r>
        <w:rPr>
          <w:rFonts w:hint="eastAsia" w:ascii="方正小标宋_GBK" w:hAnsi="宋体" w:eastAsia="方正小标宋_GBK"/>
          <w:sz w:val="44"/>
          <w:szCs w:val="44"/>
        </w:rPr>
        <w:t/>
      </w:r>
    </w:p>
    <w:p w14:paraId="7C1A23FE">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14:paraId="11E3C096">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部门概况</w:t>
      </w:r>
      <w:r>
        <w:rPr>
          <w:rFonts w:hint="eastAsia" w:ascii="仿宋_GB2312" w:hAnsi="仿宋_GB2312" w:eastAsia="仿宋_GB2312" w:cs="仿宋_GB2312"/>
          <w:b/>
          <w:bCs/>
          <w:sz w:val="32"/>
          <w:szCs w:val="32"/>
        </w:rPr>
        <w:fldChar w:fldCharType="end"/>
      </w:r>
    </w:p>
    <w:p w14:paraId="695FF0F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14:paraId="20AC0F9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14:paraId="03DF0839">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14:paraId="1E4B298F">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14:paraId="448604E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14:paraId="6477D7D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14:paraId="64A0CBA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14:paraId="07B13FA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14:paraId="35E4954F">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14:paraId="1D40B9C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14:paraId="572435C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14:paraId="2330D4E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14:paraId="2363D30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14:paraId="47A3366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14:paraId="5B6A706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14:paraId="1D67ADC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14:paraId="2D81D31B">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14:paraId="688C6E4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14:paraId="6E70625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14:paraId="687A037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14:paraId="2BE4C8B9">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14:paraId="02F533C8">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14:paraId="13D03994">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14:paraId="363DA5E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14:paraId="7612762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14:paraId="3D4C350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14:paraId="2F9A11B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14:paraId="44A5CB8E">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14:paraId="277EE40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14:paraId="49FE811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14:paraId="43AA163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14:paraId="5D4DF260">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r>
        <w:br w:type="page"/>
      </w:r>
    </w:p>
    <w:p>
      <w:pPr>
        <w:spacing w:line="640" w:lineRule="exact"/>
        <w:jc w:val="center"/>
        <w:outlineLvl w:val="1"/>
      </w:pPr>
      <w:r>
        <w:rPr>
          <w:rFonts w:ascii="黑体" w:hAnsi="黑体" w:eastAsia="黑体"/>
          <w:sz w:val="32"/>
        </w:rPr>
        <w:t>第一部分 部门概况</w:t>
      </w:r>
    </w:p>
    <w:p>
      <w:pPr>
        <w:spacing w:line="640" w:lineRule="exact"/>
        <w:ind w:firstLine="640"/>
        <w:jc w:val="both"/>
        <w:outlineLvl w:val="2"/>
      </w:pPr>
      <w:r>
        <w:rPr>
          <w:rFonts w:ascii="黑体" w:hAnsi="黑体" w:eastAsia="黑体"/>
          <w:sz w:val="32"/>
        </w:rPr>
        <w:t>一、主要职能</w:t>
      </w:r>
    </w:p>
    <w:p>
      <w:pPr>
        <w:spacing w:line="580" w:lineRule="exact"/>
        <w:ind w:firstLine="640"/>
        <w:jc w:val="both"/>
      </w:pPr>
      <w:r>
        <w:rPr>
          <w:rFonts w:ascii="仿宋_GB2312" w:hAnsi="仿宋_GB2312" w:eastAsia="仿宋_GB2312"/>
          <w:sz w:val="32"/>
        </w:rPr>
        <w:t>中共且末县委员会组织部在且末县党委领导下，负责贯彻习近平新时代中国特色社会主义思想、新时代党的组织路线和以习近平同志为核心的党中央治疆方略、聚焦服务社会稳定和长治久安总目标，落实党中央关于党的建设、组织体系、领导班子建设，领导干部队伍、公务员队伍、人才队伍建设的方针政策和且末县党委决策部署。主要职责是。</w:t>
      </w:r>
    </w:p>
    <w:p>
      <w:pPr>
        <w:spacing w:line="580" w:lineRule="exact"/>
        <w:ind w:firstLine="640"/>
        <w:jc w:val="both"/>
      </w:pPr>
      <w:r>
        <w:rPr>
          <w:rFonts w:ascii="仿宋_GB2312" w:hAnsi="仿宋_GB2312" w:eastAsia="仿宋_GB2312"/>
          <w:sz w:val="32"/>
        </w:rPr>
        <w:t>（一）负责党的建设和组织工作研究。</w:t>
      </w:r>
    </w:p>
    <w:p>
      <w:pPr>
        <w:spacing w:line="580" w:lineRule="exact"/>
        <w:ind w:firstLine="640"/>
        <w:jc w:val="both"/>
      </w:pPr>
      <w:r>
        <w:rPr>
          <w:rFonts w:ascii="仿宋_GB2312" w:hAnsi="仿宋_GB2312" w:eastAsia="仿宋_GB2312"/>
          <w:sz w:val="32"/>
        </w:rPr>
        <w:t>（二）负责党的组织制度建设。</w:t>
      </w:r>
    </w:p>
    <w:p>
      <w:pPr>
        <w:spacing w:line="580" w:lineRule="exact"/>
        <w:ind w:firstLine="640"/>
        <w:jc w:val="both"/>
      </w:pPr>
      <w:r>
        <w:rPr>
          <w:rFonts w:ascii="仿宋_GB2312" w:hAnsi="仿宋_GB2312" w:eastAsia="仿宋_GB2312"/>
          <w:sz w:val="32"/>
        </w:rPr>
        <w:t>（三）负责基层组织和党员队伍建设。</w:t>
      </w:r>
    </w:p>
    <w:p>
      <w:pPr>
        <w:spacing w:line="580" w:lineRule="exact"/>
        <w:ind w:firstLine="640"/>
        <w:jc w:val="both"/>
      </w:pPr>
      <w:r>
        <w:rPr>
          <w:rFonts w:ascii="仿宋_GB2312" w:hAnsi="仿宋_GB2312" w:eastAsia="仿宋_GB2312"/>
          <w:sz w:val="32"/>
        </w:rPr>
        <w:t>（四）负责领导班子和领导干部队伍特别是优秀年轻干部队伍建设。</w:t>
      </w:r>
    </w:p>
    <w:p>
      <w:pPr>
        <w:spacing w:line="580" w:lineRule="exact"/>
        <w:ind w:firstLine="640"/>
        <w:jc w:val="both"/>
      </w:pPr>
      <w:r>
        <w:rPr>
          <w:rFonts w:ascii="仿宋_GB2312" w:hAnsi="仿宋_GB2312" w:eastAsia="仿宋_GB2312"/>
          <w:sz w:val="32"/>
        </w:rPr>
        <w:t>（五）负责公务员队伍建设。</w:t>
      </w:r>
    </w:p>
    <w:p>
      <w:pPr>
        <w:spacing w:line="580" w:lineRule="exact"/>
        <w:ind w:firstLine="640"/>
        <w:jc w:val="both"/>
      </w:pPr>
      <w:r>
        <w:rPr>
          <w:rFonts w:ascii="仿宋_GB2312" w:hAnsi="仿宋_GB2312" w:eastAsia="仿宋_GB2312"/>
          <w:sz w:val="32"/>
        </w:rPr>
        <w:t>（六）负责人才工作。</w:t>
      </w:r>
    </w:p>
    <w:p>
      <w:pPr>
        <w:spacing w:line="580" w:lineRule="exact"/>
        <w:ind w:firstLine="640"/>
        <w:jc w:val="both"/>
      </w:pPr>
      <w:r>
        <w:rPr>
          <w:rFonts w:ascii="仿宋_GB2312" w:hAnsi="仿宋_GB2312" w:eastAsia="仿宋_GB2312"/>
          <w:sz w:val="32"/>
        </w:rPr>
        <w:t>（七）负责干部队伍建设宏观指导和干部教育培训、管理监督工作。</w:t>
      </w:r>
    </w:p>
    <w:p>
      <w:pPr>
        <w:spacing w:line="580" w:lineRule="exact"/>
        <w:ind w:firstLine="640"/>
        <w:jc w:val="both"/>
      </w:pPr>
      <w:r>
        <w:rPr>
          <w:rFonts w:ascii="仿宋_GB2312" w:hAnsi="仿宋_GB2312" w:eastAsia="仿宋_GB2312"/>
          <w:sz w:val="32"/>
        </w:rPr>
        <w:t>（八）负责干部人才援疆工作。</w:t>
      </w:r>
    </w:p>
    <w:p>
      <w:pPr>
        <w:spacing w:line="580" w:lineRule="exact"/>
        <w:ind w:firstLine="640"/>
        <w:jc w:val="both"/>
      </w:pPr>
      <w:r>
        <w:rPr>
          <w:rFonts w:ascii="仿宋_GB2312" w:hAnsi="仿宋_GB2312" w:eastAsia="仿宋_GB2312"/>
          <w:sz w:val="32"/>
        </w:rPr>
        <w:t>（九）负责老干部工作。</w:t>
      </w:r>
    </w:p>
    <w:p>
      <w:pPr>
        <w:spacing w:line="580" w:lineRule="exact"/>
        <w:ind w:firstLine="640"/>
        <w:jc w:val="both"/>
      </w:pPr>
      <w:r>
        <w:rPr>
          <w:rFonts w:ascii="仿宋_GB2312" w:hAnsi="仿宋_GB2312" w:eastAsia="仿宋_GB2312"/>
          <w:sz w:val="32"/>
        </w:rPr>
        <w:t>（十）负责组织系统党的建设工作。</w:t>
      </w:r>
    </w:p>
    <w:p>
      <w:pPr>
        <w:spacing w:line="580" w:lineRule="exact"/>
        <w:ind w:firstLine="640"/>
        <w:jc w:val="both"/>
      </w:pPr>
      <w:r>
        <w:rPr>
          <w:rFonts w:ascii="仿宋_GB2312" w:hAnsi="仿宋_GB2312" w:eastAsia="仿宋_GB2312"/>
          <w:sz w:val="32"/>
        </w:rPr>
        <w:t>（十一）负责组织系统党风廉政建设工作。</w:t>
      </w:r>
    </w:p>
    <w:p>
      <w:pPr>
        <w:spacing w:line="580" w:lineRule="exact"/>
        <w:ind w:firstLine="640"/>
        <w:jc w:val="both"/>
      </w:pPr>
      <w:r>
        <w:rPr>
          <w:rFonts w:ascii="仿宋_GB2312" w:hAnsi="仿宋_GB2312" w:eastAsia="仿宋_GB2312"/>
          <w:sz w:val="32"/>
        </w:rPr>
        <w:t>（十二）归口管理中共且末县委员会机构编制委员会办公室。</w:t>
      </w:r>
    </w:p>
    <w:p>
      <w:pPr>
        <w:spacing w:line="580" w:lineRule="exact"/>
        <w:ind w:firstLine="640"/>
        <w:jc w:val="both"/>
      </w:pPr>
      <w:r>
        <w:rPr>
          <w:rFonts w:ascii="仿宋_GB2312" w:hAnsi="仿宋_GB2312" w:eastAsia="仿宋_GB2312"/>
          <w:sz w:val="32"/>
        </w:rPr>
        <w:t>（十三）承担本部门党的建设、党风廉政建设和反腐败、精神文明、维护稳定、“为民办实事”、综合治理、民族团结、“两个全覆盖”、安全生产、扶贫等工作。</w:t>
      </w:r>
    </w:p>
    <w:p>
      <w:pPr>
        <w:spacing w:line="580" w:lineRule="exact"/>
        <w:ind w:firstLine="640"/>
        <w:jc w:val="both"/>
      </w:pPr>
      <w:r>
        <w:rPr>
          <w:rFonts w:ascii="仿宋_GB2312" w:hAnsi="仿宋_GB2312" w:eastAsia="仿宋_GB2312"/>
          <w:sz w:val="32"/>
        </w:rPr>
        <w:t>（十四）完成且末县党委交办的其他任务。</w:t>
      </w:r>
    </w:p>
    <w:p>
      <w:pPr>
        <w:spacing w:line="580" w:lineRule="exact"/>
        <w:ind w:firstLine="640"/>
        <w:jc w:val="both"/>
      </w:pPr>
      <w:r>
        <w:rPr>
          <w:rFonts w:ascii="仿宋_GB2312" w:hAnsi="仿宋_GB2312" w:eastAsia="仿宋_GB2312"/>
          <w:sz w:val="32"/>
        </w:rPr>
        <w:t>（十五）职能转变。会同有关部门实施乡村振兴战略，做好人才振兴、组织振兴工作。</w:t>
      </w:r>
    </w:p>
    <w:p>
      <w:pPr>
        <w:spacing w:line="640" w:lineRule="exact"/>
        <w:ind w:firstLine="640"/>
        <w:jc w:val="both"/>
        <w:outlineLvl w:val="2"/>
      </w:pPr>
      <w:r>
        <w:rPr>
          <w:rFonts w:ascii="黑体" w:hAnsi="黑体" w:eastAsia="黑体"/>
          <w:sz w:val="32"/>
        </w:rPr>
        <w:t>二、机构设置</w:t>
      </w:r>
    </w:p>
    <w:p>
      <w:pPr>
        <w:spacing w:line="580" w:lineRule="exact"/>
        <w:ind w:firstLine="640"/>
        <w:jc w:val="both"/>
      </w:pPr>
      <w:r>
        <w:rPr>
          <w:rFonts w:ascii="仿宋_GB2312" w:hAnsi="仿宋_GB2312" w:eastAsia="仿宋_GB2312"/>
          <w:sz w:val="32"/>
        </w:rPr>
        <w:t>从部门决算单位构成看，中共且末县委员会组织部部门决算包括：中共且末县委员会组织部（本级）决算及所属单位决算。</w:t>
      </w:r>
    </w:p>
    <w:p>
      <w:pPr>
        <w:spacing w:line="580" w:lineRule="exact"/>
        <w:ind w:firstLine="640"/>
        <w:jc w:val="both"/>
      </w:pPr>
      <w:r>
        <w:rPr>
          <w:rFonts w:ascii="仿宋_GB2312" w:hAnsi="仿宋_GB2312" w:eastAsia="仿宋_GB2312"/>
          <w:sz w:val="32"/>
        </w:rPr>
        <w:t>纳入中共且末县委员会组织部2025年度部门决算编制范围的下属预算单位包括：</w:t>
      </w:r>
    </w:p>
    <w:p>
      <w:pPr>
        <w:spacing w:line="580" w:lineRule="exact"/>
        <w:ind w:firstLine="640"/>
        <w:jc w:val="both"/>
      </w:pPr>
      <w:r>
        <w:rPr>
          <w:rFonts w:ascii="仿宋_GB2312" w:hAnsi="仿宋_GB2312" w:eastAsia="仿宋_GB2312"/>
          <w:sz w:val="32"/>
        </w:rPr>
        <w:t>1.中共且末县委员会组织部（本级）</w:t>
      </w:r>
    </w:p>
    <w:p>
      <w:pPr>
        <w:spacing w:line="580" w:lineRule="exact"/>
        <w:ind w:firstLine="640"/>
        <w:jc w:val="both"/>
      </w:pPr>
      <w:r>
        <w:rPr>
          <w:rFonts w:ascii="仿宋_GB2312" w:hAnsi="仿宋_GB2312" w:eastAsia="仿宋_GB2312"/>
          <w:sz w:val="32"/>
        </w:rPr>
        <w:t>2.且末县老干部服务中心</w:t>
      </w:r>
    </w:p>
    <w:p>
      <w:pPr>
        <w:spacing w:line="580" w:lineRule="exact"/>
        <w:ind w:firstLine="640"/>
        <w:jc w:val="both"/>
      </w:pPr>
      <w:r>
        <w:rPr>
          <w:rFonts w:ascii="仿宋_GB2312" w:hAnsi="仿宋_GB2312" w:eastAsia="仿宋_GB2312"/>
          <w:sz w:val="32"/>
        </w:rPr>
        <w:t>3.中共且末县委员会党校</w:t>
      </w:r>
    </w:p>
    <w:p>
      <w:r>
        <w:br w:type="page"/>
      </w:r>
    </w:p>
    <w:p>
      <w:pPr>
        <w:spacing w:line="240" w:lineRule="auto"/>
        <w:jc w:val="center"/>
        <w:outlineLvl w:val="1"/>
      </w:pPr>
      <w:r>
        <w:rPr>
          <w:rFonts w:ascii="黑体" w:hAnsi="黑体" w:eastAsia="黑体"/>
          <w:sz w:val="32"/>
        </w:rPr>
        <w:t>第二部分 部门决算情况说明</w:t>
      </w:r>
    </w:p>
    <w:p>
      <w:pPr>
        <w:spacing w:line="640" w:lineRule="exact"/>
        <w:ind w:firstLine="640"/>
        <w:jc w:val="both"/>
        <w:outlineLvl w:val="2"/>
      </w:pPr>
      <w:r>
        <w:rPr>
          <w:rFonts w:ascii="黑体" w:hAnsi="黑体" w:eastAsia="黑体"/>
          <w:sz w:val="32"/>
        </w:rPr>
        <w:t>一、收入支出决算总体情况说明</w:t>
      </w:r>
    </w:p>
    <w:p>
      <w:pPr>
        <w:spacing w:line="580" w:lineRule="exact"/>
        <w:ind w:firstLine="640"/>
        <w:jc w:val="both"/>
      </w:pPr>
      <w:r>
        <w:rPr>
          <w:rFonts w:ascii="仿宋_GB2312" w:hAnsi="仿宋_GB2312" w:eastAsia="仿宋_GB2312"/>
          <w:b/>
          <w:sz w:val="32"/>
        </w:rPr>
        <w:t>2025年度收入总计1,851.30万元，</w:t>
      </w:r>
      <w:r>
        <w:rPr>
          <w:rFonts w:ascii="仿宋_GB2312" w:hAnsi="仿宋_GB2312" w:eastAsia="仿宋_GB2312"/>
          <w:b w:val="0"/>
          <w:sz w:val="32"/>
        </w:rPr>
        <w:t>其中：本年收入合计1,752.78万元，使用非财政拨款结余（含专用结余）0.00万元，年初结转和结余98.52万元。</w:t>
      </w:r>
    </w:p>
    <w:p>
      <w:pPr>
        <w:spacing w:line="580" w:lineRule="exact"/>
        <w:ind w:firstLine="640"/>
        <w:jc w:val="both"/>
      </w:pPr>
      <w:r>
        <w:rPr>
          <w:rFonts w:ascii="仿宋_GB2312" w:hAnsi="仿宋_GB2312" w:eastAsia="仿宋_GB2312"/>
          <w:b/>
          <w:sz w:val="32"/>
        </w:rPr>
        <w:t>2025年度支出总计1,851.30万元，</w:t>
      </w:r>
      <w:r>
        <w:rPr>
          <w:rFonts w:ascii="仿宋_GB2312" w:hAnsi="仿宋_GB2312" w:eastAsia="仿宋_GB2312"/>
          <w:b w:val="0"/>
          <w:sz w:val="32"/>
        </w:rPr>
        <w:t>其中：本年支出合计1,759.52万元，结余分配0.00万元，年末结转和结余91.78万元。</w:t>
      </w:r>
    </w:p>
    <w:p>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增加422.34万元，增长29.56%，主要原因是：本年新增自治州拨付的“五个好”党支部补助经费，视联网项目智慧组工会议室LED大屏项目、2023年“五小”工程及阿热勒周转宿舍建设项目等，导致经费较上年有所增加。</w:t>
      </w:r>
    </w:p>
    <w:p>
      <w:pPr>
        <w:spacing w:line="640" w:lineRule="exact"/>
        <w:ind w:firstLine="640"/>
        <w:jc w:val="both"/>
        <w:outlineLvl w:val="2"/>
      </w:pPr>
      <w:r>
        <w:rPr>
          <w:rFonts w:ascii="黑体" w:hAnsi="黑体" w:eastAsia="黑体"/>
          <w:sz w:val="32"/>
        </w:rPr>
        <w:t>二、收入决算情况说明</w:t>
      </w:r>
    </w:p>
    <w:p>
      <w:pPr>
        <w:spacing w:line="580" w:lineRule="exact"/>
        <w:ind w:firstLine="640"/>
        <w:jc w:val="both"/>
      </w:pPr>
      <w:r>
        <w:rPr>
          <w:rFonts w:ascii="仿宋_GB2312" w:hAnsi="仿宋_GB2312" w:eastAsia="仿宋_GB2312"/>
          <w:b/>
          <w:sz w:val="32"/>
        </w:rPr>
        <w:t>本年收入1,752.78万元，</w:t>
      </w:r>
      <w:r>
        <w:rPr>
          <w:rFonts w:ascii="仿宋_GB2312" w:hAnsi="仿宋_GB2312" w:eastAsia="仿宋_GB2312"/>
          <w:b w:val="0"/>
          <w:sz w:val="32"/>
        </w:rPr>
        <w:t>其中：财政拨款收入1,724.44万元，占98.38%；上级补助收入0.00万元，占0.00%；事业收入0.00万元，占0.00%；经营收入0.00万元，占0.00%；附属单位上缴收入0.00万元，占0.00%；其他收入28.34万元，占1.62%。</w:t>
      </w:r>
    </w:p>
    <w:p>
      <w:pPr>
        <w:spacing w:line="640" w:lineRule="exact"/>
        <w:ind w:firstLine="640"/>
        <w:jc w:val="both"/>
        <w:outlineLvl w:val="2"/>
      </w:pPr>
      <w:r>
        <w:rPr>
          <w:rFonts w:ascii="黑体" w:hAnsi="黑体" w:eastAsia="黑体"/>
          <w:sz w:val="32"/>
        </w:rPr>
        <w:t>三、支出决算情况说明</w:t>
      </w:r>
    </w:p>
    <w:p>
      <w:pPr>
        <w:spacing w:line="580" w:lineRule="exact"/>
        <w:ind w:firstLine="640"/>
        <w:jc w:val="both"/>
      </w:pPr>
      <w:r>
        <w:rPr>
          <w:rFonts w:ascii="仿宋_GB2312" w:hAnsi="仿宋_GB2312" w:eastAsia="仿宋_GB2312"/>
          <w:b/>
          <w:sz w:val="32"/>
        </w:rPr>
        <w:t>本年支出1,759.52万元，</w:t>
      </w:r>
      <w:r>
        <w:rPr>
          <w:rFonts w:ascii="仿宋_GB2312" w:hAnsi="仿宋_GB2312" w:eastAsia="仿宋_GB2312"/>
          <w:b w:val="0"/>
          <w:sz w:val="32"/>
        </w:rPr>
        <w:t>其中：基本支出1,090.18万元，占61.96%；项目支出669.34万元，占38.04%；上缴上级支出0.00万元，占0.00%；经营支出0.00万元，占0.00%；对附属单位补助支出0.00万元，占0.00%。</w:t>
      </w:r>
    </w:p>
    <w:p>
      <w:pPr>
        <w:spacing w:line="640" w:lineRule="exact"/>
        <w:ind w:firstLine="640"/>
        <w:jc w:val="both"/>
        <w:outlineLvl w:val="2"/>
      </w:pPr>
      <w:r>
        <w:rPr>
          <w:rFonts w:ascii="黑体" w:hAnsi="黑体" w:eastAsia="黑体"/>
          <w:sz w:val="32"/>
        </w:rPr>
        <w:t>四、财政拨款收入支出决算总体情况说明</w:t>
      </w:r>
    </w:p>
    <w:p>
      <w:pPr>
        <w:spacing w:line="580" w:lineRule="exact"/>
        <w:ind w:firstLine="640"/>
        <w:jc w:val="both"/>
      </w:pPr>
      <w:r>
        <w:rPr>
          <w:rFonts w:ascii="仿宋_GB2312" w:hAnsi="仿宋_GB2312" w:eastAsia="仿宋_GB2312"/>
          <w:b/>
          <w:sz w:val="32"/>
        </w:rPr>
        <w:t>2025年度财政拨款收入总计1,724.44万元，</w:t>
      </w:r>
      <w:r>
        <w:rPr>
          <w:rFonts w:ascii="仿宋_GB2312" w:hAnsi="仿宋_GB2312" w:eastAsia="仿宋_GB2312"/>
          <w:b w:val="0"/>
          <w:sz w:val="32"/>
        </w:rPr>
        <w:t>其中：年初财政拨款结转和结余0.00万元，本年财政拨款收入1,724.44万元。</w:t>
      </w:r>
      <w:r>
        <w:rPr>
          <w:rFonts w:ascii="仿宋_GB2312" w:hAnsi="仿宋_GB2312" w:eastAsia="仿宋_GB2312"/>
          <w:b/>
          <w:sz w:val="32"/>
        </w:rPr>
        <w:t>财政拨款支出总计1,724.44万元，</w:t>
      </w:r>
      <w:r>
        <w:rPr>
          <w:rFonts w:ascii="仿宋_GB2312" w:hAnsi="仿宋_GB2312" w:eastAsia="仿宋_GB2312"/>
          <w:b w:val="0"/>
          <w:sz w:val="32"/>
        </w:rPr>
        <w:t>其中：年末财政拨款结转和结余0.00万元，本年财政拨款支出1,724.44万元。</w:t>
      </w:r>
    </w:p>
    <w:p>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增加434.20万元，增长33.65%，主要原因是：本年新增自治州拨付的“五个好”党支部补助经费，视联网项目智慧组工会议室LED大屏项目、2023年“五小”工程及阿热勒周转宿舍建设项目等，导致经费较上年有所增加。</w:t>
      </w:r>
      <w:r>
        <w:rPr>
          <w:rFonts w:ascii="仿宋_GB2312" w:hAnsi="仿宋_GB2312" w:eastAsia="仿宋_GB2312"/>
          <w:b/>
          <w:sz w:val="32"/>
        </w:rPr>
        <w:t>与年初预算相比，</w:t>
      </w:r>
      <w:r>
        <w:rPr>
          <w:rFonts w:ascii="仿宋_GB2312" w:hAnsi="仿宋_GB2312" w:eastAsia="仿宋_GB2312"/>
          <w:b w:val="0"/>
          <w:sz w:val="32"/>
        </w:rPr>
        <w:t>年初预算数973.82万元，决算数1,724.44万元，预决算差异率77.08%，主要原因是：年中追加2023年“五小”工程及阿热勒周转宿舍建设项目，导致预决算存在差异。</w:t>
      </w:r>
    </w:p>
    <w:p>
      <w:pPr>
        <w:spacing w:line="640" w:lineRule="exact"/>
        <w:ind w:firstLine="640"/>
        <w:jc w:val="both"/>
        <w:outlineLvl w:val="2"/>
      </w:pPr>
      <w:r>
        <w:rPr>
          <w:rFonts w:ascii="黑体" w:hAnsi="黑体" w:eastAsia="黑体"/>
          <w:sz w:val="32"/>
        </w:rPr>
        <w:t>五、一般公共预算财政拨款支出决算情况说明</w:t>
      </w:r>
    </w:p>
    <w:p>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机构运行等重点支出，体现在有关支出科目中。</w:t>
      </w:r>
    </w:p>
    <w:p>
      <w:pPr>
        <w:spacing w:line="580" w:lineRule="exact"/>
        <w:ind w:firstLine="640"/>
        <w:jc w:val="both"/>
      </w:pPr>
      <w:r>
        <w:rPr>
          <w:rFonts w:ascii="仿宋_GB2312" w:hAnsi="仿宋_GB2312" w:eastAsia="仿宋_GB2312"/>
          <w:b w:val="0"/>
          <w:sz w:val="32"/>
        </w:rPr>
        <w:t>按照支出功能分类，一般公共服务支出（类）组织事务（款）行政运行（项）的支出占本年财政拨款支出总额的比重最高，2025年度决算数为465.16万元，占比26.97%，主要用于人员工资福利及日常公用经费。</w:t>
      </w:r>
    </w:p>
    <w:p>
      <w:pPr>
        <w:spacing w:line="640" w:lineRule="exact"/>
        <w:ind w:firstLine="640"/>
        <w:jc w:val="both"/>
        <w:outlineLvl w:val="3"/>
      </w:pPr>
      <w:r>
        <w:rPr>
          <w:rFonts w:ascii="楷体_GB2312" w:hAnsi="楷体_GB2312" w:eastAsia="楷体_GB2312"/>
          <w:b/>
          <w:sz w:val="32"/>
        </w:rPr>
        <w:t>（一）一般公共预算财政拨款支出决算总体情况</w:t>
      </w:r>
    </w:p>
    <w:p>
      <w:pPr>
        <w:spacing w:line="580" w:lineRule="exact"/>
        <w:ind w:firstLine="640"/>
        <w:jc w:val="both"/>
      </w:pPr>
      <w:r>
        <w:rPr>
          <w:rFonts w:ascii="仿宋_GB2312" w:hAnsi="仿宋_GB2312" w:eastAsia="仿宋_GB2312"/>
          <w:b/>
          <w:sz w:val="32"/>
        </w:rPr>
        <w:t>2025年度一般公共预算财政拨款支出1,257.64万元，</w:t>
      </w:r>
      <w:r>
        <w:rPr>
          <w:rFonts w:ascii="仿宋_GB2312" w:hAnsi="仿宋_GB2312" w:eastAsia="仿宋_GB2312"/>
          <w:b w:val="0"/>
          <w:sz w:val="32"/>
        </w:rPr>
        <w:t>占本年支出合计的71.48%。</w:t>
      </w:r>
      <w:r>
        <w:rPr>
          <w:rFonts w:ascii="仿宋_GB2312" w:hAnsi="仿宋_GB2312" w:eastAsia="仿宋_GB2312"/>
          <w:b/>
          <w:sz w:val="32"/>
        </w:rPr>
        <w:t>与上年相比，</w:t>
      </w:r>
      <w:r>
        <w:rPr>
          <w:rFonts w:ascii="仿宋_GB2312" w:hAnsi="仿宋_GB2312" w:eastAsia="仿宋_GB2312"/>
          <w:b w:val="0"/>
          <w:sz w:val="32"/>
        </w:rPr>
        <w:t>减少32.60万元，下降2.53%，主要原因是：本年减少党员干部培训费，相应经费较上年减少。</w:t>
      </w:r>
      <w:r>
        <w:rPr>
          <w:rFonts w:ascii="仿宋_GB2312" w:hAnsi="仿宋_GB2312" w:eastAsia="仿宋_GB2312"/>
          <w:b/>
          <w:sz w:val="32"/>
        </w:rPr>
        <w:t>与年初预算相比，</w:t>
      </w:r>
      <w:r>
        <w:rPr>
          <w:rFonts w:ascii="仿宋_GB2312" w:hAnsi="仿宋_GB2312" w:eastAsia="仿宋_GB2312"/>
          <w:b w:val="0"/>
          <w:sz w:val="32"/>
        </w:rPr>
        <w:t>年初预算数973.82万元，决算数1,257.64万元，预决算差异率29.15%，主要原因是：年中追加视联网项目智慧组工会议室LED大屏项目，导致预决算存在差异。</w:t>
      </w:r>
    </w:p>
    <w:p>
      <w:pPr>
        <w:spacing w:line="640" w:lineRule="exact"/>
        <w:ind w:firstLine="640"/>
        <w:jc w:val="both"/>
        <w:outlineLvl w:val="3"/>
      </w:pPr>
      <w:r>
        <w:rPr>
          <w:rFonts w:ascii="楷体_GB2312" w:hAnsi="楷体_GB2312" w:eastAsia="楷体_GB2312"/>
          <w:b/>
          <w:sz w:val="32"/>
        </w:rPr>
        <w:t>（二）一般公共预算财政拨款支出决算结构情况</w:t>
      </w:r>
    </w:p>
    <w:p>
      <w:pPr>
        <w:spacing w:line="580" w:lineRule="exact"/>
        <w:ind w:firstLine="640"/>
        <w:jc w:val="both"/>
      </w:pPr>
      <w:r>
        <w:rPr>
          <w:rFonts w:ascii="仿宋_GB2312" w:hAnsi="仿宋_GB2312" w:eastAsia="仿宋_GB2312"/>
          <w:b w:val="0"/>
          <w:sz w:val="32"/>
        </w:rPr>
        <w:t>1.一般公共服务支出（类）626.03万元，占49.78%。</w:t>
      </w:r>
    </w:p>
    <w:p>
      <w:pPr>
        <w:spacing w:line="580" w:lineRule="exact"/>
        <w:ind w:firstLine="640"/>
        <w:jc w:val="both"/>
      </w:pPr>
      <w:r>
        <w:rPr>
          <w:rFonts w:ascii="仿宋_GB2312" w:hAnsi="仿宋_GB2312" w:eastAsia="仿宋_GB2312"/>
          <w:b w:val="0"/>
          <w:sz w:val="32"/>
        </w:rPr>
        <w:t>2.教育支出（类）206.43万元，占16.41%。</w:t>
      </w:r>
    </w:p>
    <w:p>
      <w:pPr>
        <w:spacing w:line="580" w:lineRule="exact"/>
        <w:ind w:firstLine="640"/>
        <w:jc w:val="both"/>
      </w:pPr>
      <w:r>
        <w:rPr>
          <w:rFonts w:ascii="仿宋_GB2312" w:hAnsi="仿宋_GB2312" w:eastAsia="仿宋_GB2312"/>
          <w:b w:val="0"/>
          <w:sz w:val="32"/>
        </w:rPr>
        <w:t>3.科学技术支出（类）6.00万元，占0.48%。</w:t>
      </w:r>
    </w:p>
    <w:p>
      <w:pPr>
        <w:spacing w:line="580" w:lineRule="exact"/>
        <w:ind w:firstLine="640"/>
        <w:jc w:val="both"/>
      </w:pPr>
      <w:r>
        <w:rPr>
          <w:rFonts w:ascii="仿宋_GB2312" w:hAnsi="仿宋_GB2312" w:eastAsia="仿宋_GB2312"/>
          <w:b w:val="0"/>
          <w:sz w:val="32"/>
        </w:rPr>
        <w:t>4.社会保障和就业支出（类）291.94万元，占23.21%。</w:t>
      </w:r>
    </w:p>
    <w:p>
      <w:pPr>
        <w:spacing w:line="580" w:lineRule="exact"/>
        <w:ind w:firstLine="640"/>
        <w:jc w:val="both"/>
      </w:pPr>
      <w:r>
        <w:rPr>
          <w:rFonts w:ascii="仿宋_GB2312" w:hAnsi="仿宋_GB2312" w:eastAsia="仿宋_GB2312"/>
          <w:b w:val="0"/>
          <w:sz w:val="32"/>
        </w:rPr>
        <w:t>5.卫生健康支出（类）37.95万元，占3.02%。</w:t>
      </w:r>
    </w:p>
    <w:p>
      <w:pPr>
        <w:spacing w:line="580" w:lineRule="exact"/>
        <w:ind w:firstLine="640"/>
        <w:jc w:val="both"/>
      </w:pPr>
      <w:r>
        <w:rPr>
          <w:rFonts w:ascii="仿宋_GB2312" w:hAnsi="仿宋_GB2312" w:eastAsia="仿宋_GB2312"/>
          <w:b w:val="0"/>
          <w:sz w:val="32"/>
        </w:rPr>
        <w:t>6.农林水支出（类）3.38万元，占0.27%。</w:t>
      </w:r>
    </w:p>
    <w:p>
      <w:pPr>
        <w:spacing w:line="580" w:lineRule="exact"/>
        <w:ind w:firstLine="640"/>
        <w:jc w:val="both"/>
      </w:pPr>
      <w:r>
        <w:rPr>
          <w:rFonts w:ascii="仿宋_GB2312" w:hAnsi="仿宋_GB2312" w:eastAsia="仿宋_GB2312"/>
          <w:b w:val="0"/>
          <w:sz w:val="32"/>
        </w:rPr>
        <w:t>7.住房保障支出（类）65.09万元，占5.18%。</w:t>
      </w:r>
    </w:p>
    <w:p>
      <w:pPr>
        <w:spacing w:line="580" w:lineRule="exact"/>
        <w:ind w:firstLine="640"/>
        <w:jc w:val="both"/>
      </w:pPr>
      <w:r>
        <w:rPr>
          <w:rFonts w:ascii="仿宋_GB2312" w:hAnsi="仿宋_GB2312" w:eastAsia="仿宋_GB2312"/>
          <w:b w:val="0"/>
          <w:sz w:val="32"/>
        </w:rPr>
        <w:t>8.其他支出（类）20.82万元，占1.66%。</w:t>
      </w:r>
    </w:p>
    <w:p>
      <w:pPr>
        <w:spacing w:line="640" w:lineRule="exact"/>
        <w:ind w:firstLine="640"/>
        <w:jc w:val="both"/>
        <w:outlineLvl w:val="3"/>
      </w:pPr>
      <w:r>
        <w:rPr>
          <w:rFonts w:ascii="楷体_GB2312" w:hAnsi="楷体_GB2312" w:eastAsia="楷体_GB2312"/>
          <w:b/>
          <w:sz w:val="32"/>
        </w:rPr>
        <w:t>（三）一般公共预算财政拨款支出决算具体情况</w:t>
      </w:r>
    </w:p>
    <w:p>
      <w:pPr>
        <w:spacing w:line="580" w:lineRule="exact"/>
        <w:ind w:firstLine="640"/>
        <w:jc w:val="both"/>
      </w:pPr>
      <w:r>
        <w:rPr>
          <w:rFonts w:ascii="仿宋_GB2312" w:hAnsi="仿宋_GB2312" w:eastAsia="仿宋_GB2312"/>
          <w:b w:val="0"/>
          <w:sz w:val="32"/>
        </w:rPr>
        <w:t>1.一般公共服务支出（类）党委办公厅（室）及相关机构事务（款）行政运行（项）：支出决算数为0.00万元，比上年决算减少45.25万元，下降100.00%，主要原因是：本年功能科目调整，上年度机关工委人员工资等经费上年单独列支，本年度在主科目列支，导致经费较上年减少。</w:t>
      </w:r>
    </w:p>
    <w:p>
      <w:pPr>
        <w:spacing w:line="580" w:lineRule="exact"/>
        <w:ind w:firstLine="640"/>
        <w:jc w:val="both"/>
      </w:pPr>
      <w:r>
        <w:rPr>
          <w:rFonts w:ascii="仿宋_GB2312" w:hAnsi="仿宋_GB2312" w:eastAsia="仿宋_GB2312"/>
          <w:b w:val="0"/>
          <w:sz w:val="32"/>
        </w:rPr>
        <w:t>2.一般公共服务支出（类）组织事务（款）行政运行（项）：支出决算数为465.16万元，比上年决算增加38.73万元，增长9.08%，主要原因是：本年在职人员工资调增，导致相关人员经费较上年有所增加；功能科目调整，机关工委人员工资等经费上年单独列支，本年调整至主科目列支，相应经费较上年增加。</w:t>
      </w:r>
    </w:p>
    <w:p>
      <w:pPr>
        <w:spacing w:line="580" w:lineRule="exact"/>
        <w:ind w:firstLine="640"/>
        <w:jc w:val="both"/>
      </w:pPr>
      <w:r>
        <w:rPr>
          <w:rFonts w:ascii="仿宋_GB2312" w:hAnsi="仿宋_GB2312" w:eastAsia="仿宋_GB2312"/>
          <w:b w:val="0"/>
          <w:sz w:val="32"/>
        </w:rPr>
        <w:t>3.一般公共服务支出（类）组织事务（款）其他组织事务支出（项）：支出决算数为160.87万元，比上年决算增加121.91万元，增长312.91%，主要原因是：本年新增自治州拨付的“五个好”党支部补助经费，视联网项目智慧组工会议室LED大屏项目等，导致经费较上年有所增加。</w:t>
      </w:r>
    </w:p>
    <w:p>
      <w:pPr>
        <w:spacing w:line="580" w:lineRule="exact"/>
        <w:ind w:firstLine="640"/>
        <w:jc w:val="both"/>
      </w:pPr>
      <w:r>
        <w:rPr>
          <w:rFonts w:ascii="仿宋_GB2312" w:hAnsi="仿宋_GB2312" w:eastAsia="仿宋_GB2312"/>
          <w:b w:val="0"/>
          <w:sz w:val="32"/>
        </w:rPr>
        <w:t>4.教育支出（类）进修及培训（款）干部教育（项）：支出决算数为206.43万元，比上年决算减少95.99万元，下降31.74%，主要原因是：本年减少党员干部培训费，相应经费较上年减少；功能科目调整，住房公积金、养老保险、住房公积金上年在主款项列支，本年单独列支，相应经费较上年减少。</w:t>
      </w:r>
    </w:p>
    <w:p>
      <w:pPr>
        <w:spacing w:line="580" w:lineRule="exact"/>
        <w:ind w:firstLine="640"/>
        <w:jc w:val="both"/>
      </w:pPr>
      <w:r>
        <w:rPr>
          <w:rFonts w:ascii="仿宋_GB2312" w:hAnsi="仿宋_GB2312" w:eastAsia="仿宋_GB2312"/>
          <w:b w:val="0"/>
          <w:sz w:val="32"/>
        </w:rPr>
        <w:t>5.科学技术支出（类）其他科学技术支出（款）其他科学技术支出（项）：支出决算数为6.00万元，比上年决算增加6.00万元，增长100.00%，主要原因是：本年新增组工网分级复测服务费支出，导致经费较上年有所增加。</w:t>
      </w:r>
    </w:p>
    <w:p>
      <w:pPr>
        <w:spacing w:line="580" w:lineRule="exact"/>
        <w:ind w:firstLine="640"/>
        <w:jc w:val="both"/>
      </w:pPr>
      <w:r>
        <w:rPr>
          <w:rFonts w:ascii="仿宋_GB2312" w:hAnsi="仿宋_GB2312" w:eastAsia="仿宋_GB2312"/>
          <w:b w:val="0"/>
          <w:sz w:val="32"/>
        </w:rPr>
        <w:t>6.社会保障和就业支出（类）行政事业单位养老支出（款）行政单位离退休（项）：支出决算数为77.49万元，比上年决算增加14.34万元，增长22.71%，主要原因是：本年增加退休人员基础绩效奖，退休费支出增加。</w:t>
      </w:r>
    </w:p>
    <w:p>
      <w:pPr>
        <w:spacing w:line="580" w:lineRule="exact"/>
        <w:ind w:firstLine="640"/>
        <w:jc w:val="both"/>
      </w:pPr>
      <w:r>
        <w:rPr>
          <w:rFonts w:ascii="仿宋_GB2312" w:hAnsi="仿宋_GB2312" w:eastAsia="仿宋_GB2312"/>
          <w:b w:val="0"/>
          <w:sz w:val="32"/>
        </w:rPr>
        <w:t>7.社会保障和就业支出（类）行政事业单位养老支出（款）事业单位离退休（项）：支出决算数为0.39万元，比上年决算增加0.39万元，增长100.00%，主要原因是：本年增加退休人员基础绩效奖，退休费支出增加。</w:t>
      </w:r>
    </w:p>
    <w:p>
      <w:pPr>
        <w:spacing w:line="580" w:lineRule="exact"/>
        <w:ind w:firstLine="640"/>
        <w:jc w:val="both"/>
      </w:pPr>
      <w:r>
        <w:rPr>
          <w:rFonts w:ascii="仿宋_GB2312" w:hAnsi="仿宋_GB2312" w:eastAsia="仿宋_GB2312"/>
          <w:b w:val="0"/>
          <w:sz w:val="32"/>
        </w:rPr>
        <w:t>8.社会保障和就业支出（类）行政事业单位养老支出（款）离退休人员管理机构（项）：支出决算数为107.26万元，比上年决算增加37.34万元，增长53.40%，主要原因是：本年在职人员工资调增，相关人员经费较上年增加。</w:t>
      </w:r>
    </w:p>
    <w:p>
      <w:pPr>
        <w:spacing w:line="580" w:lineRule="exact"/>
        <w:ind w:firstLine="640"/>
        <w:jc w:val="both"/>
      </w:pPr>
      <w:r>
        <w:rPr>
          <w:rFonts w:ascii="仿宋_GB2312" w:hAnsi="仿宋_GB2312" w:eastAsia="仿宋_GB2312"/>
          <w:b w:val="0"/>
          <w:sz w:val="32"/>
        </w:rPr>
        <w:t>9.社会保障和就业支出（类）行政事业单位养老支出（款）机关事业单位基本养老保险缴费支出（项）：支出决算数为89.50万元，比上年决算减少1.26万元，下降1.39%，主要原因是：本年在职人员减少，单位基本养老保险缴费较上年减少。</w:t>
      </w:r>
    </w:p>
    <w:p>
      <w:pPr>
        <w:spacing w:line="580" w:lineRule="exact"/>
        <w:ind w:firstLine="640"/>
        <w:jc w:val="both"/>
      </w:pPr>
      <w:r>
        <w:rPr>
          <w:rFonts w:ascii="仿宋_GB2312" w:hAnsi="仿宋_GB2312" w:eastAsia="仿宋_GB2312"/>
          <w:b w:val="0"/>
          <w:sz w:val="32"/>
        </w:rPr>
        <w:t>10.社会保障和就业支出（类）行政事业单位养老支出（款）机关事业单位职业年金缴费支出（项）：支出决算数为17.30万元，比上年决算减少8.66万元，下降33.36%，主要原因是：本年辞职调出人员较上年减少，职业年金缴费较上年减少。</w:t>
      </w:r>
    </w:p>
    <w:p>
      <w:pPr>
        <w:spacing w:line="580" w:lineRule="exact"/>
        <w:ind w:firstLine="640"/>
        <w:jc w:val="both"/>
      </w:pPr>
      <w:r>
        <w:rPr>
          <w:rFonts w:ascii="仿宋_GB2312" w:hAnsi="仿宋_GB2312" w:eastAsia="仿宋_GB2312"/>
          <w:b w:val="0"/>
          <w:sz w:val="32"/>
        </w:rPr>
        <w:t>11.卫生健康支出（类）行政事业单位医疗（款）行政单位医疗（项）：支出决算数为24.53万元，比上年决算减少4.53万元，下降15.59%，主要原因是：本年在职人员减少，行政单位医疗支出较上年减少。</w:t>
      </w:r>
    </w:p>
    <w:p>
      <w:pPr>
        <w:spacing w:line="580" w:lineRule="exact"/>
        <w:ind w:firstLine="640"/>
        <w:jc w:val="both"/>
      </w:pPr>
      <w:r>
        <w:rPr>
          <w:rFonts w:ascii="仿宋_GB2312" w:hAnsi="仿宋_GB2312" w:eastAsia="仿宋_GB2312"/>
          <w:b w:val="0"/>
          <w:sz w:val="32"/>
        </w:rPr>
        <w:t>12.卫生健康支出（类）行政事业单位医疗（款）事业单位医疗（项）：支出决算数为7.87万元，比上年决算增加7.87万元，增长100.00%，主要原因是：本年功能科目调整，事业单位医疗上年度在主科目列支，本年单独列支，导致经费较上年增加。</w:t>
      </w:r>
    </w:p>
    <w:p>
      <w:pPr>
        <w:spacing w:line="580" w:lineRule="exact"/>
        <w:ind w:firstLine="640"/>
        <w:jc w:val="both"/>
      </w:pPr>
      <w:r>
        <w:rPr>
          <w:rFonts w:ascii="仿宋_GB2312" w:hAnsi="仿宋_GB2312" w:eastAsia="仿宋_GB2312"/>
          <w:b w:val="0"/>
          <w:sz w:val="32"/>
        </w:rPr>
        <w:t>13.卫生健康支出（类）行政事业单位医疗（款）公务员医疗补助（项）：支出决算数为5.55万元，比上年决算减少1.42万元，下降20.37%，主要原因是：本年在职人员减少，公务员医疗补助较上年减少。</w:t>
      </w:r>
    </w:p>
    <w:p>
      <w:pPr>
        <w:spacing w:line="580" w:lineRule="exact"/>
        <w:ind w:firstLine="640"/>
        <w:jc w:val="both"/>
      </w:pPr>
      <w:r>
        <w:rPr>
          <w:rFonts w:ascii="仿宋_GB2312" w:hAnsi="仿宋_GB2312" w:eastAsia="仿宋_GB2312"/>
          <w:b w:val="0"/>
          <w:sz w:val="32"/>
        </w:rPr>
        <w:t>14.农林水支出（类）水利（款）水土保持（项）：支出决算数为3.38万元，比上年决算增加3.38万元，增长100.00%，主要原因是：本年新增2023年“五小”工程建设项目水土保持费、2023年村级组织活动场所建设水土保持费、2023年村民服务中心建设项目水土保持费、2023年乡镇干部周转宿舍建设项目水土保持费、2023年社区综合服务建设项目水土保持费支出，相应经费较上年增加。</w:t>
      </w:r>
    </w:p>
    <w:p>
      <w:pPr>
        <w:spacing w:line="580" w:lineRule="exact"/>
        <w:ind w:firstLine="640"/>
        <w:jc w:val="both"/>
      </w:pPr>
      <w:r>
        <w:rPr>
          <w:rFonts w:ascii="仿宋_GB2312" w:hAnsi="仿宋_GB2312" w:eastAsia="仿宋_GB2312"/>
          <w:b w:val="0"/>
          <w:sz w:val="32"/>
        </w:rPr>
        <w:t>15.住房保障支出（类）住房改革支出（款）住房公积金（项）：支出决算数为65.09万元，比上年决算增加14.02万元，增长27.45%，主要原因是：本年在职人员工资基数调增，公积金缴费基数上涨，相应支出增加；功能科目调整，党校住房公积金上年在主款项列支，本年调整至此科目，相应经费较上年增加。</w:t>
      </w:r>
    </w:p>
    <w:p>
      <w:pPr>
        <w:spacing w:line="580" w:lineRule="exact"/>
        <w:ind w:firstLine="640"/>
        <w:jc w:val="both"/>
      </w:pPr>
      <w:r>
        <w:rPr>
          <w:rFonts w:ascii="仿宋_GB2312" w:hAnsi="仿宋_GB2312" w:eastAsia="仿宋_GB2312"/>
          <w:b w:val="0"/>
          <w:sz w:val="32"/>
        </w:rPr>
        <w:t>16.其他支出（类）其他支出（款）其他支出（项）：支出决算数为20.82万元，比上年决算减少119.47万元，下降85.16%，主要原因是：本年功能科目调整，2023年“五小”工程建设项目工程款上年在一般公共预算其他支出科目列支，本年调整至政府性基金其他地方自行试点项目收益专项债券收入安排的支出科目列支，相应经费较上年减少。</w:t>
      </w:r>
    </w:p>
    <w:p>
      <w:pPr>
        <w:spacing w:line="640" w:lineRule="exact"/>
        <w:ind w:firstLine="640"/>
        <w:jc w:val="both"/>
        <w:outlineLvl w:val="2"/>
      </w:pPr>
      <w:r>
        <w:rPr>
          <w:rFonts w:ascii="黑体" w:hAnsi="黑体" w:eastAsia="黑体"/>
          <w:sz w:val="32"/>
        </w:rPr>
        <w:t>六、一般公共预算财政拨款基本支出决算情况说明</w:t>
      </w:r>
    </w:p>
    <w:p>
      <w:pPr>
        <w:spacing w:line="580" w:lineRule="exact"/>
        <w:ind w:firstLine="640"/>
        <w:jc w:val="both"/>
      </w:pPr>
      <w:r>
        <w:rPr>
          <w:rFonts w:ascii="仿宋_GB2312" w:hAnsi="仿宋_GB2312" w:eastAsia="仿宋_GB2312"/>
          <w:b w:val="0"/>
          <w:sz w:val="32"/>
        </w:rPr>
        <w:t>2025年度一般公共预算财政拨款基本支出1,055.10万元，其中：</w:t>
      </w:r>
      <w:r>
        <w:rPr>
          <w:rFonts w:ascii="仿宋_GB2312" w:hAnsi="仿宋_GB2312" w:eastAsia="仿宋_GB2312"/>
          <w:b/>
          <w:sz w:val="32"/>
        </w:rPr>
        <w:t>人员经费955.76万元，</w:t>
      </w:r>
      <w:r>
        <w:rPr>
          <w:rFonts w:ascii="仿宋_GB2312" w:hAnsi="仿宋_GB2312" w:eastAsia="仿宋_GB2312"/>
          <w:b w:val="0"/>
          <w:sz w:val="32"/>
        </w:rPr>
        <w:t>包括：基本工资、津贴补贴、奖金、绩效工资、机关事业单位基本养老保险缴费、职业年金缴费、职工基本医疗保险缴费、公务员医疗补助缴费、其他社会保障缴费、住房公积金、医疗费、退休费、抚恤金、生活补助、医疗费补助、奖励金。</w:t>
      </w:r>
    </w:p>
    <w:p>
      <w:pPr>
        <w:spacing w:line="580" w:lineRule="exact"/>
        <w:ind w:firstLine="640"/>
        <w:jc w:val="both"/>
      </w:pPr>
      <w:r>
        <w:rPr>
          <w:rFonts w:ascii="仿宋_GB2312" w:hAnsi="仿宋_GB2312" w:eastAsia="仿宋_GB2312"/>
          <w:b/>
          <w:sz w:val="32"/>
        </w:rPr>
        <w:t>公用经费99.35万元，</w:t>
      </w:r>
      <w:r>
        <w:rPr>
          <w:rFonts w:ascii="仿宋_GB2312" w:hAnsi="仿宋_GB2312" w:eastAsia="仿宋_GB2312"/>
          <w:b w:val="0"/>
          <w:sz w:val="32"/>
        </w:rPr>
        <w:t>包括：办公费、手续费、水费、电费、邮电费、取暖费、物业管理费、差旅费、维修（护）费、租赁费、培训费、劳务费、委托业务费、公务用车运行维护费、其他商品和服务支出。</w:t>
      </w:r>
    </w:p>
    <w:p>
      <w:pPr>
        <w:spacing w:line="640" w:lineRule="exact"/>
        <w:ind w:firstLine="640"/>
        <w:jc w:val="both"/>
        <w:outlineLvl w:val="2"/>
      </w:pPr>
      <w:r>
        <w:rPr>
          <w:rFonts w:ascii="黑体" w:hAnsi="黑体" w:eastAsia="黑体"/>
          <w:sz w:val="32"/>
        </w:rPr>
        <w:t>七、政府性基金预算财政拨款收入支出决算情况说明</w:t>
      </w:r>
    </w:p>
    <w:p>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2023年“五小”工程及阿热勒周转宿舍建设项目等重点支出，体现在有关支出科目中。</w:t>
      </w:r>
    </w:p>
    <w:p>
      <w:pPr>
        <w:spacing w:line="580" w:lineRule="exact"/>
        <w:ind w:firstLine="640"/>
        <w:jc w:val="both"/>
      </w:pPr>
      <w:r>
        <w:rPr>
          <w:rFonts w:ascii="仿宋_GB2312" w:hAnsi="仿宋_GB2312" w:eastAsia="仿宋_GB2312"/>
          <w:b/>
          <w:sz w:val="32"/>
        </w:rPr>
        <w:t>2025年度政府性基金预算财政拨款收入总计466.80万元，</w:t>
      </w:r>
      <w:r>
        <w:rPr>
          <w:rFonts w:ascii="仿宋_GB2312" w:hAnsi="仿宋_GB2312" w:eastAsia="仿宋_GB2312"/>
          <w:b w:val="0"/>
          <w:sz w:val="32"/>
        </w:rPr>
        <w:t>其中：年初结转和结余0.00万元，本年收入466.80万元。</w:t>
      </w:r>
      <w:r>
        <w:rPr>
          <w:rFonts w:ascii="仿宋_GB2312" w:hAnsi="仿宋_GB2312" w:eastAsia="仿宋_GB2312"/>
          <w:b/>
          <w:sz w:val="32"/>
        </w:rPr>
        <w:t>政府性基金预算财政拨款支出总计466.80万元，</w:t>
      </w:r>
      <w:r>
        <w:rPr>
          <w:rFonts w:ascii="仿宋_GB2312" w:hAnsi="仿宋_GB2312" w:eastAsia="仿宋_GB2312"/>
          <w:b w:val="0"/>
          <w:sz w:val="32"/>
        </w:rPr>
        <w:t>其中：年末结转和结余0.00万元，本年支出466.80万元。</w:t>
      </w:r>
    </w:p>
    <w:p>
      <w:pPr>
        <w:spacing w:line="580" w:lineRule="exact"/>
        <w:ind w:firstLine="640"/>
        <w:jc w:val="both"/>
      </w:pPr>
      <w:r>
        <w:rPr>
          <w:rFonts w:ascii="仿宋_GB2312" w:hAnsi="仿宋_GB2312" w:eastAsia="仿宋_GB2312"/>
          <w:b/>
          <w:sz w:val="32"/>
        </w:rPr>
        <w:t>政府性基金预算财政拨款收入支出总体与上年相比，</w:t>
      </w:r>
      <w:r>
        <w:rPr>
          <w:rFonts w:ascii="仿宋_GB2312" w:hAnsi="仿宋_GB2312" w:eastAsia="仿宋_GB2312"/>
          <w:b w:val="0"/>
          <w:sz w:val="32"/>
        </w:rPr>
        <w:t>增加466.80万元，增长100.00%，主要原因是：本年功能科目调整，2023年“五小”工程建设项目工程款上年在一般公共预算其他支出科目列支，本年调整至政府性基金其他地方自行试点项目收益专项债券收入安排的支出科目列支，相应经费较上年增加；增加阿热勒周转宿舍项目，相应经费较上年增加。</w:t>
      </w:r>
      <w:r>
        <w:rPr>
          <w:rFonts w:ascii="仿宋_GB2312" w:hAnsi="仿宋_GB2312" w:eastAsia="仿宋_GB2312"/>
          <w:b/>
          <w:sz w:val="32"/>
        </w:rPr>
        <w:t>与年初预算相比，</w:t>
      </w:r>
      <w:r>
        <w:rPr>
          <w:rFonts w:ascii="仿宋_GB2312" w:hAnsi="仿宋_GB2312" w:eastAsia="仿宋_GB2312"/>
          <w:b w:val="0"/>
          <w:sz w:val="32"/>
        </w:rPr>
        <w:t>年初预算数0.00万元，决算数466.80万元，预决算差异率100.00%，主要原因是：年中追加2023年“五小”工程及阿热勒周转宿舍项目，导致预决算存在差异。</w:t>
      </w:r>
    </w:p>
    <w:p>
      <w:pPr>
        <w:spacing w:line="580" w:lineRule="exact"/>
        <w:ind w:firstLine="640"/>
        <w:jc w:val="both"/>
      </w:pPr>
      <w:r>
        <w:rPr>
          <w:rFonts w:ascii="仿宋_GB2312" w:hAnsi="仿宋_GB2312" w:eastAsia="仿宋_GB2312"/>
          <w:b w:val="0"/>
          <w:sz w:val="32"/>
        </w:rPr>
        <w:t>政府性基金预算财政拨款本年支出466.80万元。具体情况如下：</w:t>
      </w:r>
    </w:p>
    <w:p>
      <w:pPr>
        <w:spacing w:line="580" w:lineRule="exact"/>
        <w:ind w:firstLine="640"/>
        <w:jc w:val="both"/>
      </w:pPr>
      <w:r>
        <w:rPr>
          <w:rFonts w:ascii="仿宋_GB2312" w:hAnsi="仿宋_GB2312" w:eastAsia="仿宋_GB2312"/>
          <w:b w:val="0"/>
          <w:sz w:val="32"/>
        </w:rPr>
        <w:t>1.其他支出（类）其他政府性基金及对应专项债务收入安排的支出（款）其他地方自行试点项目收益专项债券收入安排的支出（项）：支出决算数为466.80万元，比上年决算增加466.80万元，增长100.00%，主要原因是：本年功能科目调整，2023年“五小”工程建设项目工程款上年在一般公共预算其他支出科目列支，本年调整至政府性基金其他地方自行试点项目收益专项债券收入安排的支出科目列支，相应经费较上年增加；增加阿热勒周转宿舍项目，相应经费较上年增加。</w:t>
      </w:r>
    </w:p>
    <w:p>
      <w:pPr>
        <w:spacing w:line="640" w:lineRule="exact"/>
        <w:ind w:firstLine="640"/>
        <w:jc w:val="both"/>
        <w:outlineLvl w:val="2"/>
      </w:pPr>
      <w:r>
        <w:rPr>
          <w:rFonts w:ascii="黑体" w:hAnsi="黑体" w:eastAsia="黑体"/>
          <w:sz w:val="32"/>
        </w:rPr>
        <w:t>八、国有资本经营预算财政拨款收入支出决算情况说明</w:t>
      </w:r>
    </w:p>
    <w:p>
      <w:pPr>
        <w:spacing w:line="580" w:lineRule="exact"/>
        <w:ind w:firstLine="640"/>
        <w:jc w:val="both"/>
      </w:pPr>
      <w:r>
        <w:rPr>
          <w:rFonts w:ascii="仿宋_GB2312" w:hAnsi="仿宋_GB2312" w:eastAsia="仿宋_GB2312"/>
          <w:b w:val="0"/>
          <w:sz w:val="32"/>
        </w:rPr>
        <w:t>本部门本年度无国有资本经营预算财政拨款收入、支出及结转和结余，国有资本经营预算财政拨款收入支出决算表为空表。</w:t>
      </w:r>
    </w:p>
    <w:p>
      <w:pPr>
        <w:spacing w:line="640" w:lineRule="exact"/>
        <w:ind w:firstLine="640"/>
        <w:jc w:val="both"/>
        <w:outlineLvl w:val="2"/>
      </w:pPr>
      <w:r>
        <w:rPr>
          <w:rFonts w:ascii="黑体" w:hAnsi="黑体" w:eastAsia="黑体"/>
          <w:sz w:val="32"/>
        </w:rPr>
        <w:t>九、财政拨款“三公”经费支出决算情况说明</w:t>
      </w:r>
    </w:p>
    <w:p>
      <w:pPr>
        <w:spacing w:line="580" w:lineRule="exact"/>
        <w:ind w:firstLine="640"/>
        <w:jc w:val="both"/>
      </w:pPr>
      <w:r>
        <w:rPr>
          <w:rFonts w:ascii="仿宋_GB2312" w:hAnsi="仿宋_GB2312" w:eastAsia="仿宋_GB2312"/>
          <w:b/>
          <w:sz w:val="32"/>
        </w:rPr>
        <w:t>2025年度财政拨款“三公”经费支出12.42万元，</w:t>
      </w:r>
      <w:r>
        <w:rPr>
          <w:rFonts w:ascii="仿宋_GB2312" w:hAnsi="仿宋_GB2312" w:eastAsia="仿宋_GB2312"/>
          <w:b w:val="0"/>
          <w:sz w:val="32"/>
        </w:rPr>
        <w:t>比上年减少0.06万元，下降0.48%，主要原因是：严格落实中央八项规定精神，厉行节约，减少公务用车运行维护费。</w:t>
      </w:r>
      <w:r>
        <w:rPr>
          <w:rFonts w:ascii="仿宋_GB2312" w:hAnsi="仿宋_GB2312" w:eastAsia="仿宋_GB2312"/>
          <w:b w:val="0"/>
          <w:sz w:val="32"/>
        </w:rPr>
        <w:t>其中：因公出国（境）费用支出0.00万元，占0.00%，比上年增加0.00万元，增长0.00%，主要原因是：2024年与2025年均无因公出国（境）费用支出。</w:t>
      </w:r>
      <w:r>
        <w:rPr>
          <w:rFonts w:ascii="仿宋_GB2312" w:hAnsi="仿宋_GB2312" w:eastAsia="仿宋_GB2312"/>
          <w:b w:val="0"/>
          <w:sz w:val="32"/>
        </w:rPr>
        <w:t>公务用车购置及运行维护费支出12.42万元，占100.00%，比上年减少0.06万元，下降0.48%，主要原因是：严格落实中央八项规定精神，厉行节约，减少公务用车运行维护费。</w:t>
      </w:r>
      <w:r>
        <w:rPr>
          <w:rFonts w:ascii="仿宋_GB2312" w:hAnsi="仿宋_GB2312" w:eastAsia="仿宋_GB2312"/>
          <w:b w:val="0"/>
          <w:sz w:val="32"/>
        </w:rPr>
        <w:t>公务接待费支出0.00万元，占0.00%，比上年增加0.00万元，增长0.00%，主要原因是：2024年与2025年均无公务接待费支出。</w:t>
      </w:r>
    </w:p>
    <w:p>
      <w:pPr>
        <w:spacing w:line="580" w:lineRule="exact"/>
        <w:ind w:firstLine="640"/>
        <w:jc w:val="both"/>
      </w:pPr>
      <w:r>
        <w:rPr>
          <w:rFonts w:ascii="仿宋_GB2312" w:hAnsi="仿宋_GB2312" w:eastAsia="仿宋_GB2312"/>
          <w:b/>
          <w:sz w:val="32"/>
        </w:rPr>
        <w:t>具体情况如下：</w:t>
      </w:r>
    </w:p>
    <w:p>
      <w:pPr>
        <w:spacing w:line="580" w:lineRule="exact"/>
        <w:ind w:firstLine="640"/>
        <w:jc w:val="both"/>
      </w:pPr>
      <w:r>
        <w:rPr>
          <w:rFonts w:ascii="仿宋_GB2312" w:hAnsi="仿宋_GB2312" w:eastAsia="仿宋_GB2312"/>
          <w:b w:val="0"/>
          <w:sz w:val="32"/>
        </w:rPr>
        <w:t>因公出国（境）费用0.00万元，开支内容包括本部门无因公出国（境）费用。部门全年安排的因公出国（境）团组0个，因公出国（境）0人次。</w:t>
      </w:r>
    </w:p>
    <w:p>
      <w:pPr>
        <w:spacing w:line="580" w:lineRule="exact"/>
        <w:ind w:firstLine="640"/>
        <w:jc w:val="both"/>
      </w:pPr>
      <w:r>
        <w:rPr>
          <w:rFonts w:ascii="仿宋_GB2312" w:hAnsi="仿宋_GB2312" w:eastAsia="仿宋_GB2312"/>
          <w:b w:val="0"/>
          <w:sz w:val="32"/>
        </w:rPr>
        <w:t>公务用车购置及运行维护费12.42万元，其中：公务用车购置费0.00万元，公务用车运行维护费12.42万元。公务用车运行维护费开支内容包括车辆加油费、维修费、保险费、审车费、过路费等。公务用车购置数0辆，公务用车保有量5辆。国有资产占用情况中固定资产车辆7辆，与公务用车保有量差异原因是：差异车辆为一般业务用车，预算未安排公务用车运行维护费。</w:t>
      </w:r>
    </w:p>
    <w:p>
      <w:pPr>
        <w:spacing w:line="580" w:lineRule="exact"/>
        <w:ind w:firstLine="640"/>
        <w:jc w:val="both"/>
      </w:pPr>
      <w:r>
        <w:rPr>
          <w:rFonts w:ascii="仿宋_GB2312" w:hAnsi="仿宋_GB2312" w:eastAsia="仿宋_GB2312"/>
          <w:b w:val="0"/>
          <w:sz w:val="32"/>
        </w:rPr>
        <w:t>公务接待费0.00万元，开支内容包括本部门无公务接待费。部门全年安排的国内公务接待0批次，0人次。</w:t>
      </w:r>
    </w:p>
    <w:p>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12.42万元，决算数12.42万元，预决算差异率0.00%，主要原因是：严格按照预算执行，预决算无差异。其中：因公出国（境）费用全年预算数0.00万元，决算数0.00万元，预决算差异率0.00%，主要原因是：本部门无因公出国（境）费用。公务用车购置费全年预算数0.00万元，决算数0.00万元，预决算差异率0.00%，主要原因是：本部门无公务用车购置费。公务用车运行维护费全年预算数12.42万元，决算数12.42万元，预决算差异率0.00%，主要原因是：严格按照预算执行，预决算无差异。公务接待费全年预算数0.00万元，决算数0.00万元，预决算差异率0.00%，主要原因是：本部门无公务接待费。</w:t>
      </w:r>
    </w:p>
    <w:p>
      <w:pPr>
        <w:spacing w:line="640" w:lineRule="exact"/>
        <w:ind w:firstLine="640"/>
        <w:jc w:val="both"/>
        <w:outlineLvl w:val="2"/>
      </w:pPr>
      <w:r>
        <w:rPr>
          <w:rFonts w:ascii="黑体" w:hAnsi="黑体" w:eastAsia="黑体"/>
          <w:sz w:val="32"/>
        </w:rPr>
        <w:t>十、其他重要事项的情况说明</w:t>
      </w:r>
    </w:p>
    <w:p>
      <w:pPr>
        <w:spacing w:line="640" w:lineRule="exact"/>
        <w:ind w:firstLine="640"/>
        <w:jc w:val="both"/>
        <w:outlineLvl w:val="3"/>
      </w:pPr>
      <w:r>
        <w:rPr>
          <w:rFonts w:ascii="楷体_GB2312" w:hAnsi="楷体_GB2312" w:eastAsia="楷体_GB2312"/>
          <w:b/>
          <w:sz w:val="32"/>
        </w:rPr>
        <w:t>（一）机关运行经费及公用经费支出情况</w:t>
      </w:r>
    </w:p>
    <w:p>
      <w:pPr>
        <w:spacing w:line="580" w:lineRule="exact"/>
        <w:ind w:firstLine="640"/>
        <w:jc w:val="both"/>
      </w:pPr>
      <w:r>
        <w:rPr>
          <w:rFonts w:ascii="仿宋_GB2312" w:hAnsi="仿宋_GB2312" w:eastAsia="仿宋_GB2312"/>
          <w:b w:val="0"/>
          <w:sz w:val="32"/>
        </w:rPr>
        <w:t>2025年度中共且末县委员会组织部（行政单位和参照公务员法管理事业单位）机关运行经费支出99.35万元，比上年减少82.90万元，下降45.49%，主要原因是：本年减少办公费，相应机关运行经费较上年减少。</w:t>
      </w:r>
    </w:p>
    <w:p>
      <w:pPr>
        <w:spacing w:line="580" w:lineRule="exact"/>
        <w:ind w:firstLine="640"/>
        <w:jc w:val="both"/>
      </w:pPr>
      <w:r>
        <w:rPr>
          <w:rFonts w:ascii="仿宋_GB2312" w:hAnsi="仿宋_GB2312" w:eastAsia="仿宋_GB2312"/>
          <w:b w:val="0"/>
          <w:sz w:val="32"/>
        </w:rPr>
        <w:t>2025年度中共且末县委员会组织部（事业单位）公用经费支出0.00万元，比上年增加0.00万元，增长0.00%，主要原因是：2024年与2025年均无公用经费支出。</w:t>
      </w:r>
    </w:p>
    <w:p>
      <w:pPr>
        <w:spacing w:line="640" w:lineRule="exact"/>
        <w:ind w:firstLine="640"/>
        <w:jc w:val="both"/>
        <w:outlineLvl w:val="3"/>
      </w:pPr>
      <w:r>
        <w:rPr>
          <w:rFonts w:ascii="楷体_GB2312" w:hAnsi="楷体_GB2312" w:eastAsia="楷体_GB2312"/>
          <w:b/>
          <w:sz w:val="32"/>
        </w:rPr>
        <w:t>（二）政府采购情况</w:t>
      </w:r>
    </w:p>
    <w:p>
      <w:pPr>
        <w:spacing w:line="580" w:lineRule="exact"/>
        <w:ind w:firstLine="640"/>
        <w:jc w:val="both"/>
      </w:pPr>
      <w:r>
        <w:rPr>
          <w:rFonts w:ascii="仿宋_GB2312" w:hAnsi="仿宋_GB2312" w:eastAsia="仿宋_GB2312"/>
          <w:b w:val="0"/>
          <w:sz w:val="32"/>
        </w:rPr>
        <w:t>2025年度政府采购支出总额19.09万元，其中：政府采购货物支出14.31万元、政府采购工程支出0.00万元、政府采购服务支出4.78万元。</w:t>
      </w:r>
    </w:p>
    <w:p>
      <w:pPr>
        <w:spacing w:line="580" w:lineRule="exact"/>
        <w:ind w:firstLine="640"/>
        <w:jc w:val="both"/>
      </w:pPr>
      <w:r>
        <w:rPr>
          <w:rFonts w:ascii="仿宋_GB2312" w:hAnsi="仿宋_GB2312" w:eastAsia="仿宋_GB2312"/>
          <w:b w:val="0"/>
          <w:sz w:val="32"/>
        </w:rPr>
        <w:t>授予中小企业合同金额18.68万元，占政府采购支出总额的97.85%，其中：授予小微企业合同金额18.68万元，占政府采购支出总额的97.85%。</w:t>
      </w:r>
    </w:p>
    <w:p>
      <w:pPr>
        <w:spacing w:line="640" w:lineRule="exact"/>
        <w:ind w:firstLine="640"/>
        <w:jc w:val="both"/>
        <w:outlineLvl w:val="3"/>
      </w:pPr>
      <w:r>
        <w:rPr>
          <w:rFonts w:ascii="楷体_GB2312" w:hAnsi="楷体_GB2312" w:eastAsia="楷体_GB2312"/>
          <w:b/>
          <w:sz w:val="32"/>
        </w:rPr>
        <w:t>（三）国有资产占用情况说明</w:t>
      </w:r>
    </w:p>
    <w:p>
      <w:pPr>
        <w:spacing w:line="580" w:lineRule="exact"/>
        <w:ind w:firstLine="640"/>
        <w:jc w:val="both"/>
      </w:pPr>
      <w:r>
        <w:rPr>
          <w:rFonts w:ascii="仿宋_GB2312" w:hAnsi="仿宋_GB2312" w:eastAsia="仿宋_GB2312"/>
          <w:b w:val="0"/>
          <w:sz w:val="32"/>
        </w:rPr>
        <w:t>截至2025年12月31日，房屋5,648.03平方米，价值1,661.07万元。车辆7辆，价值90.66万元，其中：副部（省）级及以上领导用车0辆、主要负责人用车5辆、机要通信用车0辆、应急保障用车0辆、执法执勤用车0辆、特种专业技术用车0辆、离退休干部服务用车0辆、其他用车2辆，其他用车主要是：一般公务用车。单价100万元（含）以上设备（不含车辆）0台（套）。</w:t>
      </w:r>
    </w:p>
    <w:p>
      <w:pPr>
        <w:spacing w:line="640" w:lineRule="exact"/>
        <w:ind w:firstLine="640"/>
        <w:jc w:val="both"/>
        <w:outlineLvl w:val="2"/>
      </w:pPr>
      <w:r>
        <w:rPr>
          <w:rFonts w:ascii="黑体" w:hAnsi="黑体" w:eastAsia="黑体"/>
          <w:sz w:val="32"/>
        </w:rPr>
        <w:t>十一、预算绩效的情况说明</w:t>
      </w:r>
    </w:p>
    <w:p>
      <w:pPr>
        <w:spacing w:line="580" w:lineRule="exact"/>
        <w:ind w:firstLine="640"/>
        <w:jc w:val="both"/>
      </w:pPr>
      <w:r>
        <w:rPr>
          <w:rFonts w:ascii="仿宋_GB2312" w:hAnsi="仿宋_GB2312" w:eastAsia="仿宋_GB2312"/>
          <w:b w:val="0"/>
          <w:sz w:val="32"/>
        </w:rPr>
        <w:t>根据预算绩效管理要求，本部门2025年度预算绩效管理形成整体支出绩效自评表1个，全年预算总额1,851.29万元，实际执行总额1,759.51万元；预算绩效评价项目5个，全年预算数49.28万元，全年执行数44.03万元。预算绩效管理取得的成效：一是资金使用效益明显提升。通过将绩效理念融入预算编制、执行、监督全过程，各单位更加注重“花钱必问效、无效必问责”，财政资源配置效率和使用效益显著提高，有效避免了资金沉淀和低效支出；二是结果应用机制逐步健全。绩效评价结果与预算安排、政策调整、管理改进挂钩机制日益成熟，“奖优罚劣”导向更加鲜明，对低效无效项目坚决压减或取消，推动财政资金向高绩效领域集中。发现的问题及原因：存在问题主要是绩效目标设置质量不高。绩效指标量化不足、指向模糊，与业务工作脱节，缺乏可衡量性和可比性，导致后续评价难以精准开展。主要原因是制度体系尚不健全。配套实施细则、行业分类标准、第三方评价规范等仍有缺口，操作层面的指引不够具体。下一步改进措施：一是推进数智融合，提升管理效能。加快预算管理一体化系统建设，推动绩效管理与预算编制、执行、决算各环节数据互联互通。探索运用大数据、人工智能等技术手段，实现绩效信息的自动采集、智能分析和实时反馈。二是加强学习，进一步明确如何参照考核体系，科学合理设定绩效目标，充分发挥预算绩效管理工作效用。具体附整体支出绩效自评表、项目支出绩效自评表及项目支出绩效评价报告。</w:t>
      </w:r>
    </w:p>
    <w:p>
      <w:r>
        <w:br w:type="page"/>
      </w:r>
    </w:p>
    <w:tbl>
      <w:tblPr>
        <w:tblW w:type="auto" w:w="0"/>
        <w:tblLook w:firstColumn="1" w:firstRow="1" w:lastColumn="0" w:lastRow="0" w:noHBand="0" w:noVBand="1" w:val="04A0"/>
      </w:tblPr>
      <w:tblGrid>
        <w:gridCol w:w="1105"/>
        <w:gridCol w:w="1105"/>
        <w:gridCol w:w="1105"/>
        <w:gridCol w:w="1105"/>
        <w:gridCol w:w="1105"/>
        <w:gridCol w:w="1105"/>
        <w:gridCol w:w="1105"/>
        <w:gridCol w:w="1105"/>
      </w:tblGrid>
      <w:tr>
        <w:tc>
          <w:tcPr>
            <w:tcW w:type="dxa" w:w="1105"/>
            <w:gridSpan w:val="8"/>
            <w:vAlign w:val="center"/>
          </w:tcPr>
          <w:p>
            <w:pPr>
              <w:jc w:val="center"/>
            </w:pPr>
            <w:r>
              <w:rPr>
                <w:rFonts w:ascii="宋体" w:hAnsi="宋体" w:eastAsia="宋体"/>
                <w:sz w:val="24"/>
              </w:rPr>
              <w:t>部门整体支出绩效自评表</w:t>
            </w:r>
          </w:p>
        </w:tc>
      </w:tr>
      <w:tr>
        <w:tc>
          <w:tcPr>
            <w:tcW w:type="dxa" w:w="1105"/>
            <w:gridSpan w:val="8"/>
            <w:vAlign w:val="center"/>
          </w:tcPr>
          <w:p>
            <w:pPr>
              <w:jc w:val="center"/>
            </w:pPr>
            <w:r>
              <w:rPr>
                <w:rFonts w:ascii="宋体" w:hAnsi="宋体" w:eastAsia="宋体"/>
                <w:sz w:val="24"/>
              </w:rPr>
              <w:t>（2025年度）</w:t>
            </w:r>
          </w:p>
        </w:tc>
      </w:tr>
      <w:tr>
        <w:trPr>
          <w:cantSplit/>
        </w:trPr>
        <w:tc>
          <w:tcPr>
            <w:tcBorders>
              <w:top w:sz="10" w:val="single"/>
              <w:bottom w:sz="10" w:val="single"/>
              <w:start w:sz="10" w:val="single"/>
              <w:end w:sz="10" w:val="single"/>
              <w:insideV w:sz="10" w:val="single"/>
            </w:tcBorders>
            <w:vAlign w:val="center"/>
          </w:tcPr>
          <w:p>
            <w:pPr>
              <w:jc w:val="center"/>
            </w:pPr>
            <w:r>
              <w:rPr>
                <w:rFonts w:ascii="宋体" w:hAnsi="宋体" w:eastAsia="宋体"/>
                <w:sz w:val="16"/>
              </w:rPr>
              <w:t>部门名称</w:t>
            </w:r>
          </w:p>
        </w:tc>
        <w:tc>
          <w:tcPr>
            <w:gridSpan w:val="7"/>
            <w:tcBorders>
              <w:top w:sz="10" w:val="single"/>
              <w:bottom w:sz="10" w:val="single"/>
              <w:start w:sz="10" w:val="single"/>
              <w:end w:sz="10" w:val="single"/>
              <w:insideV w:sz="10" w:val="single"/>
            </w:tcBorders>
            <w:vAlign w:val="center"/>
          </w:tcPr>
          <w:p>
            <w:pPr>
              <w:jc w:val="center"/>
            </w:pPr>
            <w:r>
              <w:rPr>
                <w:rFonts w:ascii="宋体" w:hAnsi="宋体" w:eastAsia="宋体"/>
                <w:sz w:val="16"/>
              </w:rPr>
              <w:t>中共且末县委员会组织部</w:t>
            </w:r>
          </w:p>
        </w:tc>
      </w:tr>
      <w:tr>
        <w:trPr>
          <w:cantSplit/>
        </w:trPr>
        <w:tc>
          <w:tcPr>
            <w:tcW w:type="dxa" w:w="1105"/>
            <w:vMerge w:val="restart"/>
            <w:tcBorders>
              <w:start w:sz="10" w:val="single"/>
              <w:top w:sz="10" w:val="single"/>
              <w:end w:sz="10" w:val="single"/>
              <w:bottom w:sz="10" w:val="single"/>
              <w:insideV w:sz="10" w:val="single"/>
            </w:tcBorders>
            <w:vAlign w:val="center"/>
          </w:tcPr>
          <w:p>
            <w:pPr>
              <w:jc w:val="center"/>
            </w:pPr>
            <w:r>
              <w:rPr>
                <w:rFonts w:ascii="宋体" w:hAnsi="宋体" w:eastAsia="宋体"/>
                <w:sz w:val="16"/>
              </w:rPr>
              <w:t>部门资金（万元）</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资金来源</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年初预算数</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全年预算数</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全年执行数</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分值权重</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执行率</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得分</w:t>
            </w:r>
          </w:p>
        </w:tc>
      </w:tr>
      <w:tr>
        <w:trPr>
          <w:cantSplit/>
        </w:trPr>
        <w:tc>
          <w:tcPr>
            <w:tcW w:type="dxa" w:w="1105"/>
            <w:vMerge/>
            <w:tcBorders>
              <w:start w:sz="10" w:val="single"/>
              <w:top w:sz="10" w:val="single"/>
              <w:end w:sz="10" w:val="single"/>
              <w:bottom w:sz="10" w:val="single"/>
              <w:insideV w:sz="10" w:val="single"/>
            </w:tcBorders>
          </w:tcP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年度总资金</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1,017.40</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1,851.29</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1,759.51</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10</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95.04%</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9.5</w:t>
            </w:r>
          </w:p>
        </w:tc>
      </w:tr>
      <w:tr>
        <w:trPr>
          <w:cantSplit/>
        </w:trPr>
        <w:tc>
          <w:tcPr>
            <w:tcW w:type="dxa" w:w="1105"/>
            <w:vMerge/>
            <w:tcBorders>
              <w:start w:sz="10" w:val="single"/>
              <w:top w:sz="10" w:val="single"/>
              <w:end w:sz="10" w:val="single"/>
              <w:bottom w:sz="10" w:val="single"/>
              <w:insideV w:sz="10" w:val="single"/>
            </w:tcBorders>
          </w:tcP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其中：上级安排（万元）</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12.49</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669.33</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669.33</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w:t>
            </w:r>
          </w:p>
        </w:tc>
      </w:tr>
      <w:tr>
        <w:trPr>
          <w:cantSplit/>
        </w:trPr>
        <w:tc>
          <w:tcPr>
            <w:tcW w:type="dxa" w:w="1105"/>
            <w:vMerge/>
            <w:tcBorders>
              <w:start w:sz="10" w:val="single"/>
              <w:top w:sz="10" w:val="single"/>
              <w:end w:sz="10" w:val="single"/>
              <w:bottom w:sz="10" w:val="single"/>
              <w:insideV w:sz="10" w:val="single"/>
            </w:tcBorders>
          </w:tcP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本级安排（万元）</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961.33</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1,181.96</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1,090.18</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w:t>
            </w:r>
          </w:p>
        </w:tc>
      </w:tr>
      <w:tr>
        <w:trPr>
          <w:cantSplit/>
        </w:trPr>
        <w:tc>
          <w:tcPr>
            <w:tcW w:type="dxa" w:w="1105"/>
            <w:vMerge/>
            <w:tcBorders>
              <w:start w:sz="10" w:val="single"/>
              <w:top w:sz="10" w:val="single"/>
              <w:end w:sz="10" w:val="single"/>
              <w:bottom w:sz="10" w:val="single"/>
              <w:insideV w:sz="10" w:val="single"/>
            </w:tcBorders>
          </w:tcP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其他资金（万元）</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43.58</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0.00</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0.00</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w:t>
            </w:r>
          </w:p>
        </w:tc>
      </w:tr>
      <w:tr>
        <w:trPr>
          <w:cantSplit/>
        </w:trPr>
        <w:tc>
          <w:tcPr>
            <w:tcW w:type="dxa" w:w="1105"/>
            <w:vMerge w:val="restart"/>
            <w:tcBorders>
              <w:start w:sz="10" w:val="single"/>
              <w:top w:sz="10" w:val="single"/>
              <w:end w:sz="10" w:val="single"/>
              <w:bottom w:sz="10" w:val="single"/>
              <w:insideV w:sz="10" w:val="single"/>
            </w:tcBorders>
            <w:vAlign w:val="center"/>
          </w:tcPr>
          <w:p>
            <w:pPr>
              <w:jc w:val="center"/>
            </w:pPr>
            <w:r>
              <w:rPr>
                <w:rFonts w:ascii="宋体" w:hAnsi="宋体" w:eastAsia="宋体"/>
                <w:sz w:val="16"/>
              </w:rPr>
              <w:t>年度总体目标</w:t>
            </w:r>
          </w:p>
        </w:tc>
        <w:tc>
          <w:tcPr>
            <w:tcW w:type="dxa" w:w="1105"/>
            <w:gridSpan w:val="3"/>
            <w:tcBorders>
              <w:start w:sz="10" w:val="single"/>
              <w:top w:sz="10" w:val="single"/>
              <w:end w:sz="10" w:val="single"/>
              <w:bottom w:sz="10" w:val="single"/>
              <w:insideV w:sz="10" w:val="single"/>
            </w:tcBorders>
            <w:vAlign w:val="center"/>
          </w:tcPr>
          <w:p>
            <w:pPr>
              <w:jc w:val="center"/>
            </w:pPr>
            <w:r>
              <w:rPr>
                <w:rFonts w:ascii="宋体" w:hAnsi="宋体" w:eastAsia="宋体"/>
                <w:sz w:val="16"/>
              </w:rPr>
              <w:t>预期目标</w:t>
            </w:r>
          </w:p>
        </w:tc>
        <w:tc>
          <w:tcPr>
            <w:tcW w:type="dxa" w:w="1105"/>
            <w:gridSpan w:val="4"/>
            <w:tcBorders>
              <w:start w:sz="10" w:val="single"/>
              <w:top w:sz="10" w:val="single"/>
              <w:end w:sz="10" w:val="single"/>
              <w:bottom w:sz="10" w:val="single"/>
              <w:insideV w:sz="10" w:val="single"/>
            </w:tcBorders>
            <w:vAlign w:val="center"/>
          </w:tcPr>
          <w:p>
            <w:pPr>
              <w:jc w:val="center"/>
            </w:pPr>
            <w:r>
              <w:rPr>
                <w:rFonts w:ascii="宋体" w:hAnsi="宋体" w:eastAsia="宋体"/>
                <w:sz w:val="16"/>
              </w:rPr>
              <w:t>实际完成情况</w:t>
            </w:r>
          </w:p>
        </w:tc>
      </w:tr>
      <w:tr>
        <w:trPr>
          <w:cantSplit/>
        </w:trPr>
        <w:tc>
          <w:tcPr>
            <w:tcW w:type="dxa" w:w="1105"/>
            <w:vMerge/>
            <w:tcBorders>
              <w:start w:sz="10" w:val="single"/>
              <w:top w:sz="10" w:val="single"/>
              <w:end w:sz="10" w:val="single"/>
              <w:bottom w:sz="10" w:val="single"/>
              <w:insideV w:sz="10" w:val="single"/>
            </w:tcBorders>
          </w:tcPr>
          <w:p/>
        </w:tc>
        <w:tc>
          <w:tcPr>
            <w:tcW w:type="dxa" w:w="1105"/>
            <w:gridSpan w:val="3"/>
            <w:tcBorders>
              <w:start w:sz="10" w:val="single"/>
              <w:top w:sz="10" w:val="single"/>
              <w:end w:sz="10" w:val="single"/>
              <w:bottom w:sz="10" w:val="single"/>
              <w:insideV w:sz="10" w:val="single"/>
            </w:tcBorders>
            <w:vAlign w:val="center"/>
          </w:tcPr>
          <w:p>
            <w:pPr>
              <w:jc w:val="both"/>
            </w:pPr>
            <w:r>
              <w:rPr>
                <w:rFonts w:ascii="宋体" w:hAnsi="宋体" w:eastAsia="宋体"/>
                <w:sz w:val="16"/>
              </w:rPr>
              <w:t>此项资金共计1017.4万元，1、按时完成本年度预备党员培训2场次，每半年开展一次；2、按时完成基层干部培训班全年不少于5场次；3、每周开展两次国通语培训，全年不少于36场次；4、全年引招紧缺型人才不少于2人。通过此项资金支付确保单位日常工作的顺利开展、提升工作效率、提高干部积极性，达到增强我部业务能力，更高效、稳定地履行职能的效果</w:t>
            </w:r>
          </w:p>
        </w:tc>
        <w:tc>
          <w:tcPr>
            <w:tcW w:type="dxa" w:w="1105"/>
            <w:gridSpan w:val="4"/>
            <w:tcBorders>
              <w:start w:sz="10" w:val="single"/>
              <w:top w:sz="10" w:val="single"/>
              <w:end w:sz="10" w:val="single"/>
              <w:bottom w:sz="10" w:val="single"/>
              <w:insideV w:sz="10" w:val="single"/>
            </w:tcBorders>
            <w:vAlign w:val="center"/>
          </w:tcPr>
          <w:p>
            <w:pPr>
              <w:jc w:val="both"/>
            </w:pPr>
            <w:r>
              <w:rPr>
                <w:rFonts w:ascii="宋体" w:hAnsi="宋体" w:eastAsia="宋体"/>
                <w:sz w:val="16"/>
              </w:rPr>
              <w:t>1、按时完成了本年度预备党员培训2场次，每半年开展一次；2、按时完成了基层干部培训班全年5场次；3、每周开展了两次国通语培训，全年36场次；4、全年引招紧缺型人才2人。通过此项资金支付确保单位日常工作的顺利开展、提升工作效率、提高干部积极性，增强了我部业务能力，更高效、稳定地履行职能的效果</w:t>
            </w:r>
          </w:p>
        </w:tc>
      </w:tr>
      <w:tr>
        <w:trPr>
          <w:cantSplit/>
        </w:trPr>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一级指标</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二级指标</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三级指标</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预期指标值</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指标值设定依据</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分值权重</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实际完成指标值</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得分</w:t>
            </w:r>
          </w:p>
        </w:tc>
      </w:tr>
      <w:tr>
        <w:trPr>
          <w:cantSplit/>
        </w:trPr>
        <w:tc>
          <w:tcPr>
            <w:tcW w:type="dxa" w:w="1105"/>
            <w:vMerge w:val="restart"/>
            <w:tcBorders>
              <w:start w:sz="10" w:val="single"/>
              <w:top w:sz="10" w:val="single"/>
              <w:end w:sz="10" w:val="single"/>
              <w:bottom w:sz="10" w:val="single"/>
              <w:insideV w:sz="10" w:val="single"/>
            </w:tcBorders>
            <w:vAlign w:val="center"/>
          </w:tcPr>
          <w:p>
            <w:pPr>
              <w:jc w:val="center"/>
            </w:pPr>
            <w:r>
              <w:rPr>
                <w:rFonts w:ascii="宋体" w:hAnsi="宋体" w:eastAsia="宋体"/>
                <w:sz w:val="16"/>
              </w:rPr>
              <w:t>运行成本</w:t>
            </w:r>
          </w:p>
        </w:tc>
        <w:tc>
          <w:tcPr>
            <w:tcW w:type="dxa" w:w="1105"/>
            <w:vMerge w:val="restart"/>
            <w:tcBorders>
              <w:start w:sz="10" w:val="single"/>
              <w:top w:sz="10" w:val="single"/>
              <w:end w:sz="10" w:val="single"/>
              <w:bottom w:sz="10" w:val="single"/>
              <w:insideV w:sz="10" w:val="single"/>
            </w:tcBorders>
            <w:vAlign w:val="center"/>
          </w:tcPr>
          <w:p>
            <w:pPr>
              <w:jc w:val="center"/>
            </w:pPr>
            <w:r>
              <w:rPr>
                <w:rFonts w:ascii="宋体" w:hAnsi="宋体" w:eastAsia="宋体"/>
                <w:sz w:val="16"/>
              </w:rPr>
              <w:t>数量指标</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基层干部培训次数</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=5场次</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中共且末县委员会组织部2025年工作要点</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10</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=5场次</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10</w:t>
            </w:r>
          </w:p>
        </w:tc>
      </w:tr>
      <w:tr>
        <w:trPr>
          <w:cantSplit/>
        </w:trPr>
        <w:tc>
          <w:tcPr>
            <w:tcW w:type="dxa" w:w="1105"/>
            <w:vMerge/>
            <w:tcBorders>
              <w:start w:sz="10" w:val="single"/>
              <w:top w:sz="10" w:val="single"/>
              <w:end w:sz="10" w:val="single"/>
              <w:bottom w:sz="10" w:val="single"/>
              <w:insideV w:sz="10" w:val="single"/>
            </w:tcBorders>
          </w:tcPr>
          <w:p/>
        </w:tc>
        <w:tc>
          <w:tcPr>
            <w:tcW w:type="dxa" w:w="1105"/>
            <w:vMerge/>
            <w:tcBorders>
              <w:start w:sz="10" w:val="single"/>
              <w:top w:sz="10" w:val="single"/>
              <w:end w:sz="10" w:val="single"/>
              <w:bottom w:sz="10" w:val="single"/>
              <w:insideV w:sz="10" w:val="single"/>
            </w:tcBorders>
          </w:tcP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预备党员培训场次</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=2场次</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中共且末县委员会组织部2025年工作要点</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10</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=2场次</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10</w:t>
            </w:r>
          </w:p>
        </w:tc>
      </w:tr>
      <w:tr>
        <w:trPr>
          <w:cantSplit/>
        </w:trPr>
        <w:tc>
          <w:tcPr>
            <w:tcW w:type="dxa" w:w="1105"/>
            <w:vMerge/>
            <w:tcBorders>
              <w:start w:sz="10" w:val="single"/>
              <w:top w:sz="10" w:val="single"/>
              <w:end w:sz="10" w:val="single"/>
              <w:bottom w:sz="10" w:val="single"/>
              <w:insideV w:sz="10" w:val="single"/>
            </w:tcBorders>
          </w:tcPr>
          <w:p/>
        </w:tc>
        <w:tc>
          <w:tcPr>
            <w:tcW w:type="dxa" w:w="1105"/>
            <w:vMerge/>
            <w:tcBorders>
              <w:start w:sz="10" w:val="single"/>
              <w:top w:sz="10" w:val="single"/>
              <w:end w:sz="10" w:val="single"/>
              <w:bottom w:sz="10" w:val="single"/>
              <w:insideV w:sz="10" w:val="single"/>
            </w:tcBorders>
          </w:tcP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国通语培训场次</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=36次</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中共且末县委员会组织部2025年工作要点</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10</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=36次</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10</w:t>
            </w:r>
          </w:p>
        </w:tc>
      </w:tr>
      <w:tr>
        <w:trPr>
          <w:cantSplit/>
        </w:trPr>
        <w:tc>
          <w:tcPr>
            <w:tcW w:type="dxa" w:w="1105"/>
            <w:vMerge w:val="restart"/>
            <w:tcBorders>
              <w:start w:sz="10" w:val="single"/>
              <w:top w:sz="10" w:val="single"/>
              <w:end w:sz="10" w:val="single"/>
              <w:bottom w:sz="10" w:val="single"/>
              <w:insideV w:sz="10" w:val="single"/>
            </w:tcBorders>
            <w:vAlign w:val="center"/>
          </w:tcPr>
          <w:p>
            <w:pPr>
              <w:jc w:val="center"/>
            </w:pPr>
            <w:r>
              <w:rPr>
                <w:rFonts w:ascii="宋体" w:hAnsi="宋体" w:eastAsia="宋体"/>
                <w:sz w:val="16"/>
              </w:rPr>
              <w:t>管理效率</w:t>
            </w:r>
          </w:p>
        </w:tc>
        <w:tc>
          <w:tcPr>
            <w:tcW w:type="dxa" w:w="1105"/>
            <w:vMerge/>
            <w:tcBorders>
              <w:start w:sz="10" w:val="single"/>
              <w:top w:sz="10" w:val="single"/>
              <w:end w:sz="10" w:val="single"/>
              <w:bottom w:sz="10" w:val="single"/>
              <w:insideV w:sz="10" w:val="single"/>
            </w:tcBorders>
          </w:tcP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引进人才人数</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=2人</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中共且末县委员会组织部2025年工作要点</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10</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=2人</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10</w:t>
            </w:r>
          </w:p>
        </w:tc>
      </w:tr>
      <w:tr>
        <w:trPr>
          <w:cantSplit/>
        </w:trPr>
        <w:tc>
          <w:tcPr>
            <w:tcW w:type="dxa" w:w="1105"/>
            <w:vMerge/>
            <w:tcBorders>
              <w:start w:sz="10" w:val="single"/>
              <w:top w:sz="10" w:val="single"/>
              <w:end w:sz="10" w:val="single"/>
              <w:bottom w:sz="10" w:val="single"/>
              <w:insideV w:sz="10" w:val="single"/>
            </w:tcBorders>
          </w:tcPr>
          <w:p/>
        </w:tc>
        <w:tc>
          <w:tcPr>
            <w:tcW w:type="dxa" w:w="1105"/>
            <w:vMerge w:val="restart"/>
            <w:tcBorders>
              <w:start w:sz="10" w:val="single"/>
              <w:top w:sz="10" w:val="single"/>
              <w:end w:sz="10" w:val="single"/>
              <w:bottom w:sz="10" w:val="single"/>
              <w:insideV w:sz="10" w:val="single"/>
            </w:tcBorders>
            <w:vAlign w:val="center"/>
          </w:tcPr>
          <w:p>
            <w:pPr>
              <w:jc w:val="center"/>
            </w:pPr>
            <w:r>
              <w:rPr>
                <w:rFonts w:ascii="宋体" w:hAnsi="宋体" w:eastAsia="宋体"/>
                <w:sz w:val="16"/>
              </w:rPr>
              <w:t>质量指标</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培训合格率</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=100%</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中共且末县委员会组织部2025年工作要点</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10</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=100%</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10</w:t>
            </w:r>
          </w:p>
        </w:tc>
      </w:tr>
      <w:tr>
        <w:trPr>
          <w:cantSplit/>
        </w:trPr>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履职效能</w:t>
            </w:r>
          </w:p>
        </w:tc>
        <w:tc>
          <w:tcPr>
            <w:tcW w:type="dxa" w:w="1105"/>
            <w:vMerge/>
            <w:tcBorders>
              <w:start w:sz="10" w:val="single"/>
              <w:top w:sz="10" w:val="single"/>
              <w:end w:sz="10" w:val="single"/>
              <w:bottom w:sz="10" w:val="single"/>
              <w:insideV w:sz="10" w:val="single"/>
            </w:tcBorders>
          </w:tcP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办实事办好事，送温暖次数</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=18次</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中共且末县委员会组织部2025年工作要点</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10</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=18次</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10</w:t>
            </w:r>
          </w:p>
        </w:tc>
      </w:tr>
      <w:tr>
        <w:trPr>
          <w:cantSplit/>
        </w:trPr>
        <w:tc>
          <w:tcPr>
            <w:tcW w:type="dxa" w:w="1105"/>
            <w:vMerge w:val="restart"/>
            <w:tcBorders>
              <w:start w:sz="10" w:val="single"/>
              <w:top w:sz="10" w:val="single"/>
              <w:end w:sz="10" w:val="single"/>
              <w:bottom w:sz="10" w:val="single"/>
              <w:insideV w:sz="10" w:val="single"/>
            </w:tcBorders>
            <w:vAlign w:val="center"/>
          </w:tcPr>
          <w:p>
            <w:pPr>
              <w:jc w:val="center"/>
            </w:pPr>
            <w:r>
              <w:rPr>
                <w:rFonts w:ascii="宋体" w:hAnsi="宋体" w:eastAsia="宋体"/>
                <w:sz w:val="16"/>
              </w:rPr>
              <w:t>服务对象满意度</w:t>
            </w:r>
          </w:p>
        </w:tc>
        <w:tc>
          <w:tcPr>
            <w:tcW w:type="dxa" w:w="1105"/>
            <w:vMerge w:val="restart"/>
            <w:tcBorders>
              <w:start w:sz="10" w:val="single"/>
              <w:top w:sz="10" w:val="single"/>
              <w:end w:sz="10" w:val="single"/>
              <w:bottom w:sz="10" w:val="single"/>
              <w:insideV w:sz="10" w:val="single"/>
            </w:tcBorders>
            <w:vAlign w:val="center"/>
          </w:tcPr>
          <w:p>
            <w:pPr>
              <w:jc w:val="center"/>
            </w:pPr>
            <w:r>
              <w:rPr>
                <w:rFonts w:ascii="宋体" w:hAnsi="宋体" w:eastAsia="宋体"/>
                <w:sz w:val="16"/>
              </w:rPr>
              <w:t>满意度指标</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参训人员满意度</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&gt;=97%</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中共且末县委员会组织部2025年工作要点</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15</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=100%</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15</w:t>
            </w:r>
          </w:p>
        </w:tc>
      </w:tr>
      <w:tr>
        <w:trPr>
          <w:cantSplit/>
        </w:trPr>
        <w:tc>
          <w:tcPr>
            <w:tcW w:type="dxa" w:w="1105"/>
            <w:vMerge/>
            <w:tcBorders>
              <w:start w:sz="10" w:val="single"/>
              <w:top w:sz="10" w:val="single"/>
              <w:end w:sz="10" w:val="single"/>
              <w:bottom w:sz="10" w:val="single"/>
              <w:insideV w:sz="10" w:val="single"/>
            </w:tcBorders>
          </w:tcPr>
          <w:p/>
        </w:tc>
        <w:tc>
          <w:tcPr>
            <w:tcW w:type="dxa" w:w="1105"/>
            <w:vMerge/>
            <w:tcBorders>
              <w:start w:sz="10" w:val="single"/>
              <w:top w:sz="10" w:val="single"/>
              <w:end w:sz="10" w:val="single"/>
              <w:bottom w:sz="10" w:val="single"/>
              <w:insideV w:sz="10" w:val="single"/>
            </w:tcBorders>
          </w:tcP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党员满意度</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&gt;=97%</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中共且末县委员会组织部2025年工作要点</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15</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=100%</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15</w:t>
            </w:r>
          </w:p>
        </w:tc>
      </w:tr>
      <w:tr>
        <w:trPr>
          <w:cantSplit/>
        </w:trPr>
        <w:tc>
          <w:tcPr>
            <w:tcW w:type="dxa" w:w="1105"/>
            <w:gridSpan w:val="5"/>
            <w:tcBorders>
              <w:start w:sz="10" w:val="single"/>
              <w:top w:sz="10" w:val="single"/>
              <w:end w:sz="10" w:val="single"/>
              <w:bottom w:sz="10" w:val="single"/>
              <w:insideV w:sz="10" w:val="single"/>
            </w:tcBorders>
            <w:vAlign w:val="center"/>
          </w:tcPr>
          <w:p>
            <w:pPr>
              <w:jc w:val="center"/>
            </w:pPr>
            <w:r>
              <w:rPr>
                <w:rFonts w:ascii="宋体" w:hAnsi="宋体" w:eastAsia="宋体"/>
                <w:sz w:val="16"/>
              </w:rPr>
              <w:t>总分</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100</w:t>
            </w:r>
          </w:p>
        </w:tc>
        <w:tc>
          <w:tcPr>
            <w:tcW w:type="dxa" w:w="1105"/>
            <w:tcBorders>
              <w:start w:sz="10" w:val="single"/>
              <w:top w:sz="10" w:val="single"/>
              <w:end w:sz="10" w:val="single"/>
              <w:bottom w:sz="10" w:val="single"/>
              <w:insideV w:sz="10" w:val="single"/>
            </w:tcBorders>
          </w:tcP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99.5</w:t>
            </w:r>
          </w:p>
        </w:tc>
      </w:tr>
    </w:tbl>
    <w:p>
      <w:r>
        <w:br w:type="page"/>
      </w:r>
    </w:p>
    <w:p>
      <w:pPr>
        <w:sectPr>
          <w:footerReference r:id="rId3" w:type="default"/>
          <w:pgSz w:w="11906" w:h="16838"/>
          <w:pgMar w:top="2098" w:right="1531" w:bottom="1985" w:left="1531" w:header="851" w:footer="992" w:gutter="0"/>
          <w:cols w:space="720" w:num="1"/>
          <w:docGrid w:type="lines" w:linePitch="312" w:charSpace="0"/>
        </w:sectPr>
      </w:pPr>
    </w:p>
    <w:tbl>
      <w:tblPr>
        <w:tblW w:type="pct" w:w="5000"/>
        <w:tblLayout w:type="fixed"/>
        <w:tblLook w:firstColumn="1" w:firstRow="1" w:lastColumn="0" w:lastRow="0" w:noHBand="0" w:noVBand="1" w:val="04A0"/>
        <w:tblCellMar>
          <w:top w:w="36" w:type="dxa"/>
          <w:left w:w="36" w:type="dxa"/>
          <w:bottom w:w="36" w:type="dxa"/>
          <w:right w:w="36" w:type="dxa"/>
        </w:tblCellMar>
      </w:tblPr>
      <w:tblGrid>
        <w:gridCol w:w="389"/>
        <w:gridCol w:w="562"/>
        <w:gridCol w:w="562"/>
        <w:gridCol w:w="1058"/>
        <w:gridCol w:w="854"/>
        <w:gridCol w:w="389"/>
        <w:gridCol w:w="562"/>
        <w:gridCol w:w="562"/>
        <w:gridCol w:w="562"/>
        <w:gridCol w:w="562"/>
        <w:gridCol w:w="562"/>
        <w:gridCol w:w="562"/>
        <w:gridCol w:w="562"/>
        <w:gridCol w:w="562"/>
      </w:tblGrid>
      <w:tr>
        <w:trPr>
          <w:trHeight w:val="42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华文中宋" w:hAnsi="华文中宋" w:eastAsia="华文中宋"/>
                <w:b/>
                <w:i w:val="0"/>
                <w:sz w:val="40"/>
              </w:rPr>
              <w:t>项目支出绩效自评表</w:t>
            </w:r>
          </w:p>
        </w:tc>
      </w:tr>
      <w:tr>
        <w:trPr>
          <w:trHeight w:val="80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i w:val="0"/>
                <w:sz w:val="22"/>
              </w:rPr>
              <w:t>(2025年度)</w:t>
            </w:r>
          </w:p>
        </w:tc>
      </w:tr>
      <w:t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2025年单位资金（其他收入）-五好党支部</w:t>
            </w:r>
          </w:p>
        </w:tc>
      </w:tr>
      <w:tr>
        <w:trPr>
          <w:trHeight w:val="60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且末县委组织部本级</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中共且末县委员会组织部</w:t>
            </w:r>
          </w:p>
        </w:tc>
      </w:tr>
      <w:tr>
        <w:trPr>
          <w:trHeight w:val="44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资金来源</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全年执行数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分值权重</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执行率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得分</w:t>
            </w:r>
          </w:p>
        </w:tc>
      </w:tr>
      <w:tr>
        <w:trPr>
          <w:trHeight w:val="44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1.82</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1.82</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0.67</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36.81%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0.00</w:t>
            </w:r>
          </w:p>
        </w:tc>
      </w:tr>
      <w:tr>
        <w:trPr>
          <w:trHeight w:val="44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w:t>
            </w:r>
          </w:p>
        </w:tc>
      </w:tr>
      <w:tr>
        <w:trPr>
          <w:trHeight w:val="44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1.82</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1.82</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w:t>
            </w:r>
          </w:p>
        </w:tc>
      </w:tr>
      <w:tr>
        <w:trPr>
          <w:trHeight w:val="60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年度总体目标</w:t>
            </w:r>
          </w:p>
        </w:tc>
        <w:tc>
          <w:tcPr>
            <w:tcW w:type="dxa" w:w="593"/>
            <w:gridSpan w:val="8"/>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总体目标</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总体目标完成情况</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gridSpan w:val="8"/>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2025年单位资金“五个好”党支部1.82万元。用于改善硬件设备条件，打造标准化党员活动室；购置或订阅用于开展党员教育的报刊、资料、音像制品和设备，开展党日活动12次，党员研讨交流会4次，着重培养新正式党员1人等。通过该经费组织党员参加高端培训课程，提升党员的政治理论水平和业务能力，更好地发挥先锋模范作用；开展各类民生服务项目，增强党支部在群众中的凝聚力和影响力，切实解决群众的实际问题。</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该资金已支付0.67万元，剩余1.15万元，将继续用于党建活动费用</w:t>
            </w:r>
          </w:p>
        </w:tc>
      </w:tr>
      <w:tr>
        <w:trPr>
          <w:trHeight w:val="1920" w:hRule="atLeast"/>
        </w:trPr>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一级指标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二级指标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三级指标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指标值</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指标值设置依据</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上年完成值</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指标分值权重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指标赋分规则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佐证资料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指标实际完成值</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完成率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指标得分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偏差原因分析及改进措施</w:t>
            </w:r>
          </w:p>
        </w:tc>
      </w:tr>
      <w:tr>
        <w:trPr>
          <w:trHeight w:val="60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党建活动举办次数（次）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=12次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=12次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开展党员培训</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&gt;=12场次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=12场次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党建活动人员参与率（%）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&gt;=96%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=97%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开展党日活动期限</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每月开展</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每月开展</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党日活动经费</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&lt;=1000元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=6350元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635%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年初指标设置不合理</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社会成本指标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订阅党报党刊费</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&lt;=1000元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=317元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31.7%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年初指标设置不合理</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组织党员志愿服务参与率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说明材料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=97%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党员满意度</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&gt;=96%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说明材料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50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总分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70.00分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r>
    </w:tbl>
    <w:p>
      <w:r>
        <w:br w:type="page"/>
      </w:r>
    </w:p>
    <w:tbl>
      <w:tblPr>
        <w:tblW w:type="pct" w:w="5000"/>
        <w:tblLayout w:type="fixed"/>
        <w:tblLook w:firstColumn="1" w:firstRow="1" w:lastColumn="0" w:lastRow="0" w:noHBand="0" w:noVBand="1" w:val="04A0"/>
        <w:tblCellMar>
          <w:top w:w="36" w:type="dxa"/>
          <w:left w:w="36" w:type="dxa"/>
          <w:bottom w:w="36" w:type="dxa"/>
          <w:right w:w="36" w:type="dxa"/>
        </w:tblCellMar>
      </w:tblPr>
      <w:tblGrid>
        <w:gridCol w:w="389"/>
        <w:gridCol w:w="562"/>
        <w:gridCol w:w="562"/>
        <w:gridCol w:w="1058"/>
        <w:gridCol w:w="854"/>
        <w:gridCol w:w="389"/>
        <w:gridCol w:w="562"/>
        <w:gridCol w:w="562"/>
        <w:gridCol w:w="562"/>
        <w:gridCol w:w="562"/>
        <w:gridCol w:w="562"/>
        <w:gridCol w:w="562"/>
        <w:gridCol w:w="562"/>
        <w:gridCol w:w="562"/>
      </w:tblGrid>
      <w:tr>
        <w:trPr>
          <w:trHeight w:val="42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华文中宋" w:hAnsi="华文中宋" w:eastAsia="华文中宋"/>
                <w:b/>
                <w:i w:val="0"/>
                <w:sz w:val="40"/>
              </w:rPr>
              <w:t>项目支出绩效自评表</w:t>
            </w:r>
          </w:p>
        </w:tc>
      </w:tr>
      <w:tr>
        <w:trPr>
          <w:trHeight w:val="80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i w:val="0"/>
                <w:sz w:val="22"/>
              </w:rPr>
              <w:t>(2025年度)</w:t>
            </w:r>
          </w:p>
        </w:tc>
      </w:tr>
      <w:t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2025年单位资金（其他收入）-援疆资金</w:t>
            </w:r>
          </w:p>
        </w:tc>
      </w:tr>
      <w:tr>
        <w:trPr>
          <w:trHeight w:val="60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且末县委组织部本级</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中共且末县委员会组织部</w:t>
            </w:r>
          </w:p>
        </w:tc>
      </w:tr>
      <w:tr>
        <w:trPr>
          <w:trHeight w:val="44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资金来源</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全年执行数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分值权重</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执行率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得分</w:t>
            </w:r>
          </w:p>
        </w:tc>
      </w:tr>
      <w:tr>
        <w:trPr>
          <w:trHeight w:val="44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1.92</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1.92</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0.79</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41.15%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0.00</w:t>
            </w:r>
          </w:p>
        </w:tc>
      </w:tr>
      <w:tr>
        <w:trPr>
          <w:trHeight w:val="44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w:t>
            </w:r>
          </w:p>
        </w:tc>
      </w:tr>
      <w:tr>
        <w:trPr>
          <w:trHeight w:val="44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1.92</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1.92</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w:t>
            </w:r>
          </w:p>
        </w:tc>
      </w:tr>
      <w:tr>
        <w:trPr>
          <w:trHeight w:val="60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年度总体目标</w:t>
            </w:r>
          </w:p>
        </w:tc>
        <w:tc>
          <w:tcPr>
            <w:tcW w:type="dxa" w:w="593"/>
            <w:gridSpan w:val="8"/>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总体目标</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总体目标完成情况</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gridSpan w:val="8"/>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2025年单位资金1.92万元。用于改善办公环境和购置办公耗材。1.支付西部计划志愿者取暖费1万元；2.支付援疆干部通讯费0.92万元；3.订阅购置报刊杂志等。</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2025年单位资金1.92万元，现已使用0.79万元，剩余经费将继续作为办公费使用。</w:t>
            </w:r>
          </w:p>
        </w:tc>
      </w:tr>
      <w:tr>
        <w:trPr>
          <w:trHeight w:val="1920" w:hRule="atLeast"/>
        </w:trPr>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一级指标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二级指标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三级指标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指标值</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指标值设置依据</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上年完成值</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指标分值权重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指标赋分规则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佐证资料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指标实际完成值</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完成率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指标得分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偏差原因分析及改进措施</w:t>
            </w:r>
          </w:p>
        </w:tc>
      </w:tr>
      <w:tr>
        <w:trPr>
          <w:trHeight w:val="60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订阅购置报刊杂志批次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=4次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=4次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资金使用合规率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资金支付及时率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西部计划志愿者取暖费</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=0.42万元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42%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支付5名志愿者一年的取暖费，有剩余额度</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社会成本指标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援疆干部通讯费</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=0.92万元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=0.37万元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40%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支付1名援疆干部通讯费，有剩余额度</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用于日常办公运转，提高办公质量</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&gt;=96%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说明材料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西部计划志愿者满意度</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说明材料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50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总分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70.00分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r>
    </w:tbl>
    <w:p>
      <w:r>
        <w:br w:type="page"/>
      </w:r>
    </w:p>
    <w:tbl>
      <w:tblPr>
        <w:tblW w:type="pct" w:w="5000"/>
        <w:tblLayout w:type="fixed"/>
        <w:tblLook w:firstColumn="1" w:firstRow="1" w:lastColumn="0" w:lastRow="0" w:noHBand="0" w:noVBand="1" w:val="04A0"/>
        <w:tblCellMar>
          <w:top w:w="36" w:type="dxa"/>
          <w:left w:w="36" w:type="dxa"/>
          <w:bottom w:w="36" w:type="dxa"/>
          <w:right w:w="36" w:type="dxa"/>
        </w:tblCellMar>
      </w:tblPr>
      <w:tblGrid>
        <w:gridCol w:w="389"/>
        <w:gridCol w:w="562"/>
        <w:gridCol w:w="562"/>
        <w:gridCol w:w="1058"/>
        <w:gridCol w:w="854"/>
        <w:gridCol w:w="389"/>
        <w:gridCol w:w="562"/>
        <w:gridCol w:w="562"/>
        <w:gridCol w:w="562"/>
        <w:gridCol w:w="562"/>
        <w:gridCol w:w="562"/>
        <w:gridCol w:w="562"/>
        <w:gridCol w:w="562"/>
        <w:gridCol w:w="562"/>
      </w:tblGrid>
      <w:tr>
        <w:trPr>
          <w:trHeight w:val="42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华文中宋" w:hAnsi="华文中宋" w:eastAsia="华文中宋"/>
                <w:b/>
                <w:i w:val="0"/>
                <w:sz w:val="40"/>
              </w:rPr>
              <w:t>项目支出绩效自评表</w:t>
            </w:r>
          </w:p>
        </w:tc>
      </w:tr>
      <w:tr>
        <w:trPr>
          <w:trHeight w:val="80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i w:val="0"/>
                <w:sz w:val="22"/>
              </w:rPr>
              <w:t>(2025年度)</w:t>
            </w:r>
          </w:p>
        </w:tc>
      </w:tr>
      <w:t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2025年自治区援疆干部干部医疗费</w:t>
            </w:r>
          </w:p>
        </w:tc>
      </w:tr>
      <w:tr>
        <w:trPr>
          <w:trHeight w:val="60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且末县委组织部本级</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中共且末县委员会组织部</w:t>
            </w:r>
          </w:p>
        </w:tc>
      </w:tr>
      <w:tr>
        <w:trPr>
          <w:trHeight w:val="44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资金来源</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全年执行数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分值权重</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执行率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得分</w:t>
            </w:r>
          </w:p>
        </w:tc>
      </w:tr>
      <w:tr>
        <w:trPr>
          <w:trHeight w:val="44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7.50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7.50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4.53</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60.40%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0.10</w:t>
            </w:r>
          </w:p>
        </w:tc>
      </w:tr>
      <w:tr>
        <w:trPr>
          <w:trHeight w:val="44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7.50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7.50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4.53</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w:t>
            </w:r>
          </w:p>
        </w:tc>
      </w:tr>
      <w:tr>
        <w:trPr>
          <w:trHeight w:val="44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w:t>
            </w:r>
          </w:p>
        </w:tc>
      </w:tr>
      <w:tr>
        <w:trPr>
          <w:trHeight w:val="60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年度总体目标</w:t>
            </w:r>
          </w:p>
        </w:tc>
        <w:tc>
          <w:tcPr>
            <w:tcW w:type="dxa" w:w="593"/>
            <w:gridSpan w:val="8"/>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总体目标</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总体目标完成情况</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gridSpan w:val="8"/>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本项目资金7.5万元，我县共有25名援疆干部，按照每人3000元/年的标准，该项目全部用于援疆干部人才医疗保健的保障工作，体现且末县党委、人民政府对援疆干部的关心爱护，保护其在援疆期间医疗待遇。</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该项目为经常性项目，截止2025年，援疆干部医疗费项目资金7.5万元，实际执行数为4.53万元，保障了25名援疆干部医疗服务费，年度体检一次，医疗保障服务费3000元/人，通过实报实销切实解决了援疆干部就医问题。</w:t>
            </w:r>
          </w:p>
        </w:tc>
      </w:tr>
      <w:tr>
        <w:trPr>
          <w:trHeight w:val="1920" w:hRule="atLeast"/>
        </w:trPr>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一级指标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二级指标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三级指标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指标值</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指标值设置依据</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上年完成值</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指标分值权重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指标赋分规则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佐证资料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指标实际完成值</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完成率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指标得分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偏差原因分析及改进措施</w:t>
            </w:r>
          </w:p>
        </w:tc>
      </w:tr>
      <w:tr>
        <w:trPr>
          <w:trHeight w:val="60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保障援疆干部人数</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&gt;=25人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=25人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援疆干部人才年度体检次数</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&gt;=1次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医疗保障覆盖率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援疆干部人才日常就医保障时限</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全年</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全年</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医疗补助标准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&lt;=3000元/人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预算支出标准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=3000元/人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提升援疆干部医疗待遇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有效提升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说明材料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有效提升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援疆干部人才满意度</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&gt;=96%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说明材料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50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总分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90.10分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r>
    </w:tbl>
    <w:p>
      <w:r>
        <w:br w:type="page"/>
      </w:r>
    </w:p>
    <w:tbl>
      <w:tblPr>
        <w:tblW w:type="pct" w:w="5000"/>
        <w:tblLayout w:type="fixed"/>
        <w:tblLook w:firstColumn="1" w:firstRow="1" w:lastColumn="0" w:lastRow="0" w:noHBand="0" w:noVBand="1" w:val="04A0"/>
        <w:tblCellMar>
          <w:top w:w="36" w:type="dxa"/>
          <w:left w:w="36" w:type="dxa"/>
          <w:bottom w:w="36" w:type="dxa"/>
          <w:right w:w="36" w:type="dxa"/>
        </w:tblCellMar>
      </w:tblPr>
      <w:tblGrid>
        <w:gridCol w:w="389"/>
        <w:gridCol w:w="562"/>
        <w:gridCol w:w="562"/>
        <w:gridCol w:w="1058"/>
        <w:gridCol w:w="854"/>
        <w:gridCol w:w="389"/>
        <w:gridCol w:w="562"/>
        <w:gridCol w:w="562"/>
        <w:gridCol w:w="562"/>
        <w:gridCol w:w="562"/>
        <w:gridCol w:w="562"/>
        <w:gridCol w:w="562"/>
        <w:gridCol w:w="562"/>
        <w:gridCol w:w="562"/>
      </w:tblGrid>
      <w:tr>
        <w:trPr>
          <w:trHeight w:val="42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华文中宋" w:hAnsi="华文中宋" w:eastAsia="华文中宋"/>
                <w:b/>
                <w:i w:val="0"/>
                <w:sz w:val="40"/>
              </w:rPr>
              <w:t>项目支出绩效自评表</w:t>
            </w:r>
          </w:p>
        </w:tc>
      </w:tr>
      <w:tr>
        <w:trPr>
          <w:trHeight w:val="80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i w:val="0"/>
                <w:sz w:val="22"/>
              </w:rPr>
              <w:t>(2025年度)</w:t>
            </w:r>
          </w:p>
        </w:tc>
      </w:tr>
      <w:t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巴财行【2025】13号2024年度自治州“五个好”标准化规范化党支部补助经费1</w:t>
            </w:r>
          </w:p>
        </w:tc>
      </w:tr>
      <w:tr>
        <w:trPr>
          <w:trHeight w:val="60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且末县委组织部本级</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中共且末县委员会组织部</w:t>
            </w:r>
          </w:p>
        </w:tc>
      </w:tr>
      <w:tr>
        <w:trPr>
          <w:trHeight w:val="44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资金来源</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全年执行数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分值权重</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执行率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得分</w:t>
            </w:r>
          </w:p>
        </w:tc>
      </w:tr>
      <w:tr>
        <w:trPr>
          <w:trHeight w:val="44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14.00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14.00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14.00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10.00</w:t>
            </w:r>
          </w:p>
        </w:tc>
      </w:tr>
      <w:tr>
        <w:trPr>
          <w:trHeight w:val="44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14</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14</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14</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w:t>
            </w:r>
          </w:p>
        </w:tc>
      </w:tr>
      <w:tr>
        <w:trPr>
          <w:trHeight w:val="44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w:t>
            </w:r>
          </w:p>
        </w:tc>
      </w:tr>
      <w:tr>
        <w:trPr>
          <w:trHeight w:val="60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年度总体目标</w:t>
            </w:r>
          </w:p>
        </w:tc>
        <w:tc>
          <w:tcPr>
            <w:tcW w:type="dxa" w:w="593"/>
            <w:gridSpan w:val="8"/>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总体目标</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总体目标完成情况</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gridSpan w:val="8"/>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2024年度自治州“五个好”标准化规范化党支部补助经费下达资金14万元，为进一步强化“五个好”党支部建设工作，落实正向激励机制，激发基层党组织凝聚力战斗力，自治州党委组织部为获得2024年度自治州“五个好”标准化规范化党支部、“进位之星”的党组织兑现了14万元经费补助，其中且末县获得自治州级“五个好”党支部7个、“进位之星”1个。</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2024年度自治州“五个好”标准化规范化党支部补助经费下达资金14万元，执行数为14万元。资金主要用于支付党支部经费。为进一步强化“五个好”党支部建设工作，落实正向激励机制，激发基层党组织凝聚力战斗力，自治州党委组织部为获得2024年度自治州“五个好”标准化规范化党支部、“进位之星”的党组织兑现了14万元经费补助，其中且末县获得自治州级“五个好”党支部7个、“进位之星”1个。</w:t>
            </w:r>
          </w:p>
        </w:tc>
      </w:tr>
      <w:tr>
        <w:trPr>
          <w:trHeight w:val="1920" w:hRule="atLeast"/>
        </w:trPr>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一级指标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二级指标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三级指标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指标值</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指标值设置依据</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上年完成值</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指标分值权重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指标赋分规则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佐证资料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指标实际完成值</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完成率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指标得分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偏差原因分析及改进措施</w:t>
            </w:r>
          </w:p>
        </w:tc>
      </w:tr>
      <w:tr>
        <w:trPr>
          <w:trHeight w:val="60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“五个好”党支部获得乡镇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&gt;=7个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=7个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“进位之星”获得乡镇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&gt;=1个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补助发放准确率（%）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&gt;=100%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资金拨付及时性（%）</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&gt;=100%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党支部补助经费</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&lt;=14万元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=14万元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“五个好”党支部建设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进一步强化</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进一步强化</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“五个好”党支部满意度</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说明材料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50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总分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100.00分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r>
    </w:tbl>
    <w:p>
      <w:r>
        <w:br w:type="page"/>
      </w:r>
    </w:p>
    <w:tbl>
      <w:tblPr>
        <w:tblW w:type="pct" w:w="5000"/>
        <w:tblLayout w:type="fixed"/>
        <w:tblLook w:firstColumn="1" w:firstRow="1" w:lastColumn="0" w:lastRow="0" w:noHBand="0" w:noVBand="1" w:val="04A0"/>
        <w:tblCellMar>
          <w:top w:w="36" w:type="dxa"/>
          <w:left w:w="36" w:type="dxa"/>
          <w:bottom w:w="36" w:type="dxa"/>
          <w:right w:w="36" w:type="dxa"/>
        </w:tblCellMar>
      </w:tblPr>
      <w:tblGrid>
        <w:gridCol w:w="389"/>
        <w:gridCol w:w="562"/>
        <w:gridCol w:w="562"/>
        <w:gridCol w:w="1058"/>
        <w:gridCol w:w="854"/>
        <w:gridCol w:w="389"/>
        <w:gridCol w:w="562"/>
        <w:gridCol w:w="562"/>
        <w:gridCol w:w="562"/>
        <w:gridCol w:w="562"/>
        <w:gridCol w:w="562"/>
        <w:gridCol w:w="562"/>
        <w:gridCol w:w="562"/>
        <w:gridCol w:w="562"/>
      </w:tblGrid>
      <w:tr>
        <w:trPr>
          <w:trHeight w:val="42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华文中宋" w:hAnsi="华文中宋" w:eastAsia="华文中宋"/>
                <w:b/>
                <w:i w:val="0"/>
                <w:sz w:val="40"/>
              </w:rPr>
              <w:t>项目支出绩效自评表</w:t>
            </w:r>
          </w:p>
        </w:tc>
      </w:tr>
      <w:tr>
        <w:trPr>
          <w:trHeight w:val="80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i w:val="0"/>
                <w:sz w:val="22"/>
              </w:rPr>
              <w:t>(2025年度)</w:t>
            </w:r>
          </w:p>
        </w:tc>
      </w:tr>
      <w:t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党校培训费（单位自有资金）</w:t>
            </w:r>
          </w:p>
        </w:tc>
      </w:tr>
      <w:tr>
        <w:trPr>
          <w:trHeight w:val="60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中共且末县委员会党校</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中共且末县委员会组织部</w:t>
            </w:r>
          </w:p>
        </w:tc>
      </w:tr>
      <w:tr>
        <w:trPr>
          <w:trHeight w:val="44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资金来源</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全年执行数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分值权重</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执行率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得分</w:t>
            </w:r>
          </w:p>
        </w:tc>
      </w:tr>
      <w:tr>
        <w:trPr>
          <w:trHeight w:val="44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38.04</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24.04</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24.04</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10.00</w:t>
            </w:r>
          </w:p>
        </w:tc>
      </w:tr>
      <w:tr>
        <w:trPr>
          <w:trHeight w:val="44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w:t>
            </w:r>
          </w:p>
        </w:tc>
      </w:tr>
      <w:tr>
        <w:trPr>
          <w:trHeight w:val="44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38.04</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24.04</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w:t>
            </w:r>
          </w:p>
        </w:tc>
      </w:tr>
      <w:tr>
        <w:trPr>
          <w:trHeight w:val="60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年度总体目标</w:t>
            </w:r>
          </w:p>
        </w:tc>
        <w:tc>
          <w:tcPr>
            <w:tcW w:type="dxa" w:w="593"/>
            <w:gridSpan w:val="8"/>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总体目标</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总体目标完成情况</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gridSpan w:val="8"/>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且末县委党校2025年度单位自有资金（其他收入）24.04万元。主要用于国通语培训、“五好党支部”活动经费以及其他各类培训经费，有助于提升干部群众政治素质及职业素质。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24.04</w:t>
            </w:r>
          </w:p>
        </w:tc>
      </w:tr>
      <w:tr>
        <w:trPr>
          <w:trHeight w:val="1920" w:hRule="atLeast"/>
        </w:trPr>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一级指标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二级指标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三级指标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指标值</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指标值设置依据</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上年完成值</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指标分值权重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指标赋分规则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佐证资料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指标实际完成值</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完成率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指标得分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偏差原因分析及改进措施</w:t>
            </w:r>
          </w:p>
        </w:tc>
      </w:tr>
      <w:tr>
        <w:trPr>
          <w:trHeight w:val="60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培训场次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&gt;=4次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&gt;=7次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培训人次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&gt;=6500人次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&gt;=6500人次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人员培训合格率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行业标准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资金支付及时率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培训相关经费</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&lt;=24.04万元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正式材料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&lt;=24.04万元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培训人员政治素质提升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有所提高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行业标准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说明材料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有所提高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培训人员满意度</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行业标准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说明材料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50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总分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100.00分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r>
    </w:tbl>
    <w:p>
      <w:r>
        <w:br w:type="page"/>
      </w:r>
    </w:p>
    <w:p>
      <w:pPr>
        <w:sectPr>
          <w:type w:val="continuous"/>
          <w:pgSz w:w="11906" w:h="16838"/>
          <w:pgMar w:top="1440" w:right="1800" w:bottom="1440" w:left="1800" w:header="851" w:footer="992" w:gutter="0"/>
          <w:cols w:space="720" w:num="1"/>
          <w:docGrid w:type="lines" w:linePitch="312" w:charSpace="0"/>
        </w:sectPr>
      </w:pPr>
    </w:p>
    <w:p>
      <w:pPr>
        <w:spacing w:line="640" w:lineRule="exact"/>
        <w:ind w:firstLine="640"/>
        <w:jc w:val="both"/>
        <w:outlineLvl w:val="2"/>
      </w:pPr>
      <w:r>
        <w:rPr>
          <w:rFonts w:ascii="黑体" w:hAnsi="黑体" w:eastAsia="黑体"/>
          <w:sz w:val="32"/>
        </w:rPr>
        <w:t>十二、其他需说明的事项</w:t>
      </w:r>
    </w:p>
    <w:p>
      <w:pPr>
        <w:spacing w:line="580" w:lineRule="exact"/>
        <w:ind w:firstLine="640"/>
        <w:jc w:val="both"/>
      </w:pPr>
      <w:r>
        <w:rPr>
          <w:rFonts w:ascii="仿宋_GB2312" w:hAnsi="仿宋_GB2312" w:eastAsia="仿宋_GB2312"/>
          <w:b w:val="0"/>
          <w:sz w:val="32"/>
        </w:rPr>
        <w:t>本年本部门其他项目1个，全年预算数7.5万元，全年执行数3.78万元。</w:t>
      </w:r>
    </w:p>
    <w:p>
      <w:r>
        <w:br w:type="page"/>
      </w:r>
    </w:p>
    <w:p>
      <w:pPr>
        <w:spacing w:lineRule="exact" w:line="600"/>
        <w:jc w:val="center"/>
        <w:outlineLvl w:val="0"/>
      </w:pPr>
      <w:r>
        <w:rPr>
          <w:rFonts w:ascii="黑体" w:hAnsi="黑体" w:eastAsia="黑体"/>
          <w:sz w:val="32"/>
        </w:rPr>
        <w:t>第三部分 专业名词解释</w:t>
      </w:r>
    </w:p>
    <w:p>
      <w:pPr>
        <w:spacing w:lineRule="exact" w:line="600"/>
        <w:ind w:firstLine="643" w:firstLineChars="200"/>
        <w:autoSpaceDE w:val="0"/>
        <w:autoSpaceDN w:val="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pPr>
        <w:spacing w:lineRule="exact" w:line="600"/>
        <w:ind w:firstLine="643" w:firstLineChars="200"/>
        <w:autoSpaceDE w:val="0"/>
        <w:autoSpaceDN w:val="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pPr>
        <w:spacing w:lineRule="exact" w:line="600"/>
        <w:ind w:firstLine="643" w:firstLineChars="200"/>
        <w:autoSpaceDE w:val="0"/>
        <w:autoSpaceDN w:val="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pPr>
        <w:spacing w:lineRule="exact" w:line="600"/>
        <w:ind w:firstLine="643" w:firstLineChars="200"/>
        <w:autoSpaceDE w:val="0"/>
        <w:autoSpaceDN w:val="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pPr>
        <w:spacing w:lineRule="exact" w:line="600"/>
        <w:ind w:firstLine="643" w:firstLineChars="200"/>
        <w:autoSpaceDE w:val="0"/>
        <w:autoSpaceDN w:val="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pPr>
        <w:spacing w:lineRule="exact" w:line="600"/>
        <w:ind w:firstLine="643" w:firstLineChars="200"/>
        <w:autoSpaceDE w:val="0"/>
        <w:autoSpaceDN w:val="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pPr>
        <w:spacing w:lineRule="exact" w:line="600"/>
        <w:ind w:firstLine="643" w:firstLineChars="200"/>
        <w:autoSpaceDE w:val="0"/>
        <w:autoSpaceDN w:val="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pPr>
        <w:spacing w:lineRule="exact" w:line="600"/>
        <w:ind w:firstLine="643" w:firstLineChars="200"/>
        <w:autoSpaceDE w:val="0"/>
        <w:autoSpaceDN w:val="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pPr>
        <w:spacing w:lineRule="exact" w:line="600"/>
        <w:ind w:firstLine="643" w:firstLineChars="200"/>
        <w:autoSpaceDE w:val="0"/>
        <w:autoSpaceDN w:val="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pPr>
        <w:spacing w:lineRule="exact" w:line="600"/>
        <w:ind w:firstLine="643" w:firstLineChars="200"/>
        <w:autoSpaceDE w:val="0"/>
        <w:autoSpaceDN w:val="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pPr>
        <w:spacing w:lineRule="exact" w:line="600"/>
        <w:ind w:firstLine="643" w:firstLineChars="200"/>
        <w:autoSpaceDE w:val="0"/>
        <w:autoSpaceDN w:val="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pPr>
        <w:spacing w:lineRule="exact" w:line="600"/>
        <w:ind w:firstLine="643" w:firstLineChars="200"/>
        <w:autoSpaceDE w:val="0"/>
        <w:autoSpaceDN w:val="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pPr>
        <w:spacing w:lineRule="exact" w:line="600"/>
        <w:ind w:firstLine="643" w:firstLineChars="200"/>
        <w:autoSpaceDE w:val="0"/>
        <w:autoSpaceDN w:val="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pPr>
        <w:spacing w:lineRule="exact" w:line="600"/>
        <w:ind w:firstLine="643" w:firstLineChars="200"/>
        <w:autoSpaceDE w:val="0"/>
        <w:autoSpaceDN w:val="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pPr>
        <w:spacing w:lineRule="exact" w:line="600"/>
        <w:ind w:firstLine="643" w:firstLineChars="200"/>
        <w:autoSpaceDE w:val="0"/>
        <w:autoSpaceDN w:val="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r>
        <w:br w:type="page"/>
      </w:r>
    </w:p>
    <w:p>
      <w:pPr>
        <w:spacing w:line="240" w:lineRule="auto"/>
        <w:jc w:val="center"/>
        <w:outlineLvl w:val="1"/>
      </w:pPr>
      <w:r>
        <w:rPr>
          <w:rFonts w:ascii="黑体" w:hAnsi="黑体" w:eastAsia="黑体"/>
          <w:sz w:val="32"/>
        </w:rPr>
        <w:t>第四部分 部门决算报表（见附表）</w:t>
      </w:r>
    </w:p>
    <w:p>
      <w:pPr>
        <w:spacing w:lineRule="exact" w:line="600"/>
        <w:ind w:firstLine="643" w:firstLineChars="200"/>
        <w:autoSpaceDE w:val="0"/>
        <w:autoSpaceDN w:val="0"/>
      </w:pPr>
      <w:r>
        <w:rPr>
          <w:rFonts w:ascii="仿宋_GB2312" w:hAnsi="仿宋_GB2312" w:eastAsia="仿宋_GB2312"/>
          <w:b w:val="0"/>
          <w:sz w:val="32"/>
        </w:rPr>
        <w:t>一、《收入支出决算总表》</w:t>
      </w:r>
    </w:p>
    <w:p>
      <w:pPr>
        <w:spacing w:lineRule="exact" w:line="600"/>
        <w:ind w:firstLine="643" w:firstLineChars="200"/>
        <w:autoSpaceDE w:val="0"/>
        <w:autoSpaceDN w:val="0"/>
      </w:pPr>
      <w:r>
        <w:rPr>
          <w:rFonts w:ascii="仿宋_GB2312" w:hAnsi="仿宋_GB2312" w:eastAsia="仿宋_GB2312"/>
          <w:b w:val="0"/>
          <w:sz w:val="32"/>
        </w:rPr>
        <w:t>二、《收入决算表》</w:t>
      </w:r>
    </w:p>
    <w:p>
      <w:pPr>
        <w:spacing w:lineRule="exact" w:line="600"/>
        <w:ind w:firstLine="643" w:firstLineChars="200"/>
        <w:autoSpaceDE w:val="0"/>
        <w:autoSpaceDN w:val="0"/>
      </w:pPr>
      <w:r>
        <w:rPr>
          <w:rFonts w:ascii="仿宋_GB2312" w:hAnsi="仿宋_GB2312" w:eastAsia="仿宋_GB2312"/>
          <w:b w:val="0"/>
          <w:sz w:val="32"/>
        </w:rPr>
        <w:t>三、《支出决算表》</w:t>
      </w:r>
    </w:p>
    <w:p>
      <w:pPr>
        <w:spacing w:lineRule="exact" w:line="600"/>
        <w:ind w:firstLine="643" w:firstLineChars="200"/>
        <w:autoSpaceDE w:val="0"/>
        <w:autoSpaceDN w:val="0"/>
      </w:pPr>
      <w:r>
        <w:rPr>
          <w:rFonts w:ascii="仿宋_GB2312" w:hAnsi="仿宋_GB2312" w:eastAsia="仿宋_GB2312"/>
          <w:b w:val="0"/>
          <w:sz w:val="32"/>
        </w:rPr>
        <w:t>四、《财政拨款收入支出决算总表》</w:t>
      </w:r>
    </w:p>
    <w:p>
      <w:pPr>
        <w:spacing w:lineRule="exact" w:line="600"/>
        <w:ind w:firstLine="643" w:firstLineChars="200"/>
        <w:autoSpaceDE w:val="0"/>
        <w:autoSpaceDN w:val="0"/>
      </w:pPr>
      <w:r>
        <w:rPr>
          <w:rFonts w:ascii="仿宋_GB2312" w:hAnsi="仿宋_GB2312" w:eastAsia="仿宋_GB2312"/>
          <w:b w:val="0"/>
          <w:sz w:val="32"/>
        </w:rPr>
        <w:t>五、《一般公共预算财政拨款支出决算表》</w:t>
      </w:r>
    </w:p>
    <w:p>
      <w:pPr>
        <w:spacing w:lineRule="exact" w:line="600"/>
        <w:ind w:firstLine="643" w:firstLineChars="200"/>
        <w:autoSpaceDE w:val="0"/>
        <w:autoSpaceDN w:val="0"/>
      </w:pPr>
      <w:r>
        <w:rPr>
          <w:rFonts w:ascii="仿宋_GB2312" w:hAnsi="仿宋_GB2312" w:eastAsia="仿宋_GB2312"/>
          <w:b w:val="0"/>
          <w:sz w:val="32"/>
        </w:rPr>
        <w:t>六、《一般公共预算财政拨款基本支出决算表》</w:t>
      </w:r>
    </w:p>
    <w:p>
      <w:pPr>
        <w:spacing w:lineRule="exact" w:line="600"/>
        <w:ind w:firstLine="643" w:firstLineChars="200"/>
        <w:autoSpaceDE w:val="0"/>
        <w:autoSpaceDN w:val="0"/>
      </w:pPr>
      <w:r>
        <w:rPr>
          <w:rFonts w:ascii="仿宋_GB2312" w:hAnsi="仿宋_GB2312" w:eastAsia="仿宋_GB2312"/>
          <w:b w:val="0"/>
          <w:sz w:val="32"/>
        </w:rPr>
        <w:t>七、《政府性基金预算财政拨款收入支出决算表》</w:t>
      </w:r>
    </w:p>
    <w:p>
      <w:pPr>
        <w:spacing w:lineRule="exact" w:line="600"/>
        <w:ind w:firstLine="643" w:firstLineChars="200"/>
        <w:autoSpaceDE w:val="0"/>
        <w:autoSpaceDN w:val="0"/>
      </w:pPr>
      <w:r>
        <w:rPr>
          <w:rFonts w:ascii="仿宋_GB2312" w:hAnsi="仿宋_GB2312" w:eastAsia="仿宋_GB2312"/>
          <w:b w:val="0"/>
          <w:sz w:val="32"/>
        </w:rPr>
        <w:t>八、《国有资本经营预算财政拨款收入支出决算表》</w:t>
      </w:r>
    </w:p>
    <w:p>
      <w:pPr>
        <w:spacing w:lineRule="exact" w:line="600"/>
        <w:ind w:firstLine="643" w:firstLineChars="200"/>
        <w:autoSpaceDE w:val="0"/>
        <w:autoSpaceDN w:val="0"/>
      </w:pPr>
      <w:r>
        <w:rPr>
          <w:rFonts w:ascii="仿宋_GB2312" w:hAnsi="仿宋_GB2312" w:eastAsia="仿宋_GB2312"/>
          <w:b w:val="0"/>
          <w:sz w:val="32"/>
        </w:rPr>
        <w:t>九、《财政拨款“三公”经费支出决算表》</w:t>
      </w: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A382358-5FB0-4BFB-AA9D-340FD89383C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altName w:val="微软雅黑"/>
    <w:panose1 w:val="00000000000000000000"/>
    <w:charset w:val="86"/>
    <w:family w:val="script"/>
    <w:pitch w:val="default"/>
    <w:sig w:usb0="00000000" w:usb1="00000000" w:usb2="00082016" w:usb3="00000000" w:csb0="00040001" w:csb1="00000000"/>
    <w:embedRegular r:id="rId2" w:fontKey="{B0E6D792-6E8F-4F84-99FA-9970FA3A7C22}"/>
  </w:font>
  <w:font w:name="仿宋_GB2312">
    <w:altName w:val="微软雅黑"/>
    <w:panose1 w:val="02010609030101010101"/>
    <w:charset w:val="86"/>
    <w:family w:val="modern"/>
    <w:pitch w:val="default"/>
    <w:sig w:usb0="00000001" w:usb1="080E0000" w:usb2="00000000" w:usb3="00000000" w:csb0="00040000" w:csb1="00000000"/>
    <w:embedRegular r:id="rId3" w:fontKey="{45C515A8-30E2-40B7-BB08-E73601327DDD}"/>
  </w:font>
  <w:font w:name="微软雅黑">
    <w:panose1 w:val="020B0503020204020204"/>
    <w:charset w:val="86"/>
    <w:family w:val="auto"/>
    <w:pitch w:val="default"/>
    <w:sig w:usb0="80000287" w:usb1="2ACF3C50" w:usb2="00000016" w:usb3="00000000" w:csb0="0004001F" w:csb1="00000000"/>
  </w:font>
  <w:font w:name="KSOF8080F95D">
    <w:panose1 w:val="020B0503020204020204"/>
    <w:charset w:val="86"/>
    <w:family w:val="auto"/>
    <w:pitch w:val="default"/>
    <w:sig w:usb0="00000001" w:usb1="00000000" w:usb2="00000000" w:usb3="00000000" w:csb0="00040001" w:csb1="00000000"/>
  </w:font>
  <w:font w:name="WPSEMBED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94F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9A729D8"/>
    <w:rsid w:val="0A7B4867"/>
    <w:rsid w:val="0AC260D6"/>
    <w:rsid w:val="0B8C3ECC"/>
    <w:rsid w:val="0BC24C29"/>
    <w:rsid w:val="0C3613A3"/>
    <w:rsid w:val="0C7227A7"/>
    <w:rsid w:val="0DCA6EF7"/>
    <w:rsid w:val="0E4B1576"/>
    <w:rsid w:val="11E15093"/>
    <w:rsid w:val="120E0809"/>
    <w:rsid w:val="181A30AD"/>
    <w:rsid w:val="1875698D"/>
    <w:rsid w:val="19071D6C"/>
    <w:rsid w:val="1C317E4F"/>
    <w:rsid w:val="1C472464"/>
    <w:rsid w:val="1DAF458D"/>
    <w:rsid w:val="1E086ACE"/>
    <w:rsid w:val="1EAA4A5F"/>
    <w:rsid w:val="1F040613"/>
    <w:rsid w:val="1F587A0B"/>
    <w:rsid w:val="1FE96E5D"/>
    <w:rsid w:val="2064678E"/>
    <w:rsid w:val="20DD6197"/>
    <w:rsid w:val="21F317F2"/>
    <w:rsid w:val="2241392C"/>
    <w:rsid w:val="23BC04D2"/>
    <w:rsid w:val="25275618"/>
    <w:rsid w:val="27CF2642"/>
    <w:rsid w:val="282459E2"/>
    <w:rsid w:val="2A053397"/>
    <w:rsid w:val="2A444FB1"/>
    <w:rsid w:val="2A6064E2"/>
    <w:rsid w:val="2BA9200B"/>
    <w:rsid w:val="2D1136DF"/>
    <w:rsid w:val="2DAE0E44"/>
    <w:rsid w:val="2EB07E70"/>
    <w:rsid w:val="2F9E416C"/>
    <w:rsid w:val="2FD27414"/>
    <w:rsid w:val="313F1D52"/>
    <w:rsid w:val="318029AB"/>
    <w:rsid w:val="319D6C1C"/>
    <w:rsid w:val="31C63837"/>
    <w:rsid w:val="326F0A17"/>
    <w:rsid w:val="34623382"/>
    <w:rsid w:val="390019F4"/>
    <w:rsid w:val="3914510A"/>
    <w:rsid w:val="3B1220C9"/>
    <w:rsid w:val="3D5275AC"/>
    <w:rsid w:val="3D55093B"/>
    <w:rsid w:val="3EA7725F"/>
    <w:rsid w:val="40834692"/>
    <w:rsid w:val="423A32B2"/>
    <w:rsid w:val="464B7E04"/>
    <w:rsid w:val="46901EEE"/>
    <w:rsid w:val="469C74D2"/>
    <w:rsid w:val="47445515"/>
    <w:rsid w:val="48E21116"/>
    <w:rsid w:val="49C97D5C"/>
    <w:rsid w:val="49F5131D"/>
    <w:rsid w:val="4AE426AE"/>
    <w:rsid w:val="4B4C0111"/>
    <w:rsid w:val="4D3F1CC6"/>
    <w:rsid w:val="4D730311"/>
    <w:rsid w:val="505A358E"/>
    <w:rsid w:val="50DB5F45"/>
    <w:rsid w:val="52F92565"/>
    <w:rsid w:val="55DA564E"/>
    <w:rsid w:val="56E07045"/>
    <w:rsid w:val="583059FA"/>
    <w:rsid w:val="587E6212"/>
    <w:rsid w:val="58D10A34"/>
    <w:rsid w:val="59973ABF"/>
    <w:rsid w:val="5A74678C"/>
    <w:rsid w:val="5AFC6609"/>
    <w:rsid w:val="5C3B09A8"/>
    <w:rsid w:val="5FA17648"/>
    <w:rsid w:val="613409CB"/>
    <w:rsid w:val="61A46A97"/>
    <w:rsid w:val="62DD7D21"/>
    <w:rsid w:val="65D97752"/>
    <w:rsid w:val="664C500C"/>
    <w:rsid w:val="670267B3"/>
    <w:rsid w:val="6773145F"/>
    <w:rsid w:val="68DB0208"/>
    <w:rsid w:val="69846A0E"/>
    <w:rsid w:val="69AD798C"/>
    <w:rsid w:val="6B68175F"/>
    <w:rsid w:val="6B8B5C99"/>
    <w:rsid w:val="6E0F7A08"/>
    <w:rsid w:val="6E801ABC"/>
    <w:rsid w:val="71473612"/>
    <w:rsid w:val="716B13F9"/>
    <w:rsid w:val="718F7F65"/>
    <w:rsid w:val="73423603"/>
    <w:rsid w:val="73DE4104"/>
    <w:rsid w:val="73FB6630"/>
    <w:rsid w:val="74CE04EC"/>
    <w:rsid w:val="74E76DCD"/>
    <w:rsid w:val="76660D7C"/>
    <w:rsid w:val="76CF72D3"/>
    <w:rsid w:val="77ED6F44"/>
    <w:rsid w:val="78B87A58"/>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docProps/app.xml><?xml version="1.0" encoding="utf-8"?>
<Properties xmlns="http://schemas.openxmlformats.org/officeDocument/2006/extended-properties" xmlns:vt="http://schemas.openxmlformats.org/officeDocument/2006/docPropsVTypes">
  <Template>Normal.dotm</Template>
  <Pages>3</Pages>
  <Words>519</Words>
  <Characters>537</Characters>
  <Lines>10</Lines>
  <Paragraphs>2</Paragraphs>
  <TotalTime>7</TotalTime>
  <ScaleCrop>false</ScaleCrop>
  <LinksUpToDate>false</LinksUpToDate>
  <CharactersWithSpaces>543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净</cp:lastModifiedBy>
  <cp:lastPrinted>2024-07-22T11:58:00Z</cp:lastPrinted>
  <dcterms:modified xsi:type="dcterms:W3CDTF">2026-08-25T03:09:34Z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8FDA567F26D84A8C8A1B02E29FDE1AE6_13</vt:lpwstr>
  </property>
  <property fmtid="{D5CDD505-2E9C-101B-9397-08002B2CF9AE}" pid="4" name="KSOTemplateDocerSaveRecord">
    <vt:lpwstr>eyJoZGlkIjoiYzdkNWY5OGM4OTRiMDBlYmMyNmZmZGZhMDgxMzY1MzQiLCJ1c2VySWQiOiI0MDU5MTQxNzUifQ==</vt:lpwstr>
  </property>
</Properties>
</file>