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且末县统计局</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1.组织实施和统一协调全县统计工作，确保统计数据真实、准确、及时；执行自治州统计局制定的统计工作规章、制度和统计现代化建设规划，制定部门规范性文件，监督、检查统计法律、法规的实施。</w:t>
      </w:r>
    </w:p>
    <w:p>
      <w:pPr>
        <w:spacing w:line="580" w:lineRule="exact"/>
        <w:ind w:firstLine="640"/>
        <w:jc w:val="both"/>
      </w:pPr>
      <w:r>
        <w:rPr>
          <w:rFonts w:ascii="仿宋_GB2312" w:hAnsi="仿宋_GB2312" w:eastAsia="仿宋_GB2312"/>
          <w:sz w:val="32"/>
        </w:rPr>
        <w:t>2.建立健全县国民经济核算体系；组织实施全县国民经济核算制度和投入产出调查；核算全县生产总值、非公经济和文化产业增加值，收集提供县域国民经济核算资料，与自治州统计局共同完成国民经济核算工作。</w:t>
      </w:r>
    </w:p>
    <w:p>
      <w:pPr>
        <w:spacing w:line="580" w:lineRule="exact"/>
        <w:ind w:firstLine="640"/>
        <w:jc w:val="both"/>
      </w:pPr>
      <w:r>
        <w:rPr>
          <w:rFonts w:ascii="仿宋_GB2312" w:hAnsi="仿宋_GB2312" w:eastAsia="仿宋_GB2312"/>
          <w:sz w:val="32"/>
        </w:rPr>
        <w:t>3.按照国家、自治区和自治州要求，会同有关部门拟订重大国情国力普查计划、方案；组织实施全县人口、经济、农业等国情国力普查和成本费用调查、R&amp;D（研发与试验发展）调查等重大专项调查；汇总、整理和提供有关州情州力、县情县力方面的统计数据。</w:t>
      </w:r>
    </w:p>
    <w:p>
      <w:pPr>
        <w:spacing w:line="580" w:lineRule="exact"/>
        <w:ind w:firstLine="640"/>
        <w:jc w:val="both"/>
      </w:pPr>
      <w:r>
        <w:rPr>
          <w:rFonts w:ascii="仿宋_GB2312" w:hAnsi="仿宋_GB2312" w:eastAsia="仿宋_GB2312"/>
          <w:sz w:val="32"/>
        </w:rPr>
        <w:t>4.组织实施农林牧渔业、工业、建筑业、批发和零售业、住宿和餐饮业、房地产业和服务业、互联网经济、企业景气、企业创新等统计调查。收集、汇总、整理和提供旅游、交通运输、人口、邮政、教育、卫生、社会保障和公用事业等全域性部门统计数据。</w:t>
      </w:r>
    </w:p>
    <w:p>
      <w:pPr>
        <w:spacing w:line="580" w:lineRule="exact"/>
        <w:ind w:firstLine="640"/>
        <w:jc w:val="both"/>
      </w:pPr>
      <w:r>
        <w:rPr>
          <w:rFonts w:ascii="仿宋_GB2312" w:hAnsi="仿宋_GB2312" w:eastAsia="仿宋_GB2312"/>
          <w:sz w:val="32"/>
        </w:rPr>
        <w:t>5.组织实施能源、投资、消费、价格、绿色发展指数评价、“三新”统计（新产品、新业态、新商业模式）、城乡居民收支、科技、人口抽样调查、劳动力抽样调查和社会发展基本情况等统计调查，收集、汇总、整理和提供有关调查的统计数据，综合整理和提供资源环境、城乡建设、对外经济等全县性基本统计数据。</w:t>
      </w:r>
    </w:p>
    <w:p>
      <w:pPr>
        <w:spacing w:line="580" w:lineRule="exact"/>
        <w:ind w:firstLine="640"/>
        <w:jc w:val="both"/>
      </w:pPr>
      <w:r>
        <w:rPr>
          <w:rFonts w:ascii="仿宋_GB2312" w:hAnsi="仿宋_GB2312" w:eastAsia="仿宋_GB2312"/>
          <w:sz w:val="32"/>
        </w:rPr>
        <w:t>6.组织县域各部门的经济、社会和科技等统计调查，统一核定、管理、公布全县性基本统计资料，定期发布全县国民经济和社会发展情况的统计信息，组织建立服务业统计信息管理、共享和发布制度。</w:t>
      </w:r>
    </w:p>
    <w:p>
      <w:pPr>
        <w:spacing w:line="580" w:lineRule="exact"/>
        <w:ind w:firstLine="640"/>
        <w:jc w:val="both"/>
      </w:pPr>
      <w:r>
        <w:rPr>
          <w:rFonts w:ascii="仿宋_GB2312" w:hAnsi="仿宋_GB2312" w:eastAsia="仿宋_GB2312"/>
          <w:sz w:val="32"/>
        </w:rPr>
        <w:t>7.对国民经济、社会发展和科技进步等情况进行统计调查、统计分析和统计监督，对且末县全面建成小康社会统计进行监测，向且末县党委、且末县人民政府及有关部门提供统计信息和咨询建议。</w:t>
      </w:r>
    </w:p>
    <w:p>
      <w:pPr>
        <w:spacing w:line="580" w:lineRule="exact"/>
        <w:ind w:firstLine="640"/>
        <w:jc w:val="both"/>
      </w:pPr>
      <w:r>
        <w:rPr>
          <w:rFonts w:ascii="仿宋_GB2312" w:hAnsi="仿宋_GB2312" w:eastAsia="仿宋_GB2312"/>
          <w:sz w:val="32"/>
        </w:rPr>
        <w:t>8.贯彻落实全国基本统计制度和国家统计标准；指导专业统计基础工作、统计基层业务基础建设；组织建立服务业统计信息管理制度，建立健全统计数据质量审核、监控和评估制度，开展对重要统计数据的审核、监控和评估，依法监督管理涉外统计调查活动。</w:t>
      </w:r>
    </w:p>
    <w:p>
      <w:pPr>
        <w:spacing w:line="580" w:lineRule="exact"/>
        <w:ind w:firstLine="640"/>
        <w:jc w:val="both"/>
      </w:pPr>
      <w:r>
        <w:rPr>
          <w:rFonts w:ascii="仿宋_GB2312" w:hAnsi="仿宋_GB2312" w:eastAsia="仿宋_GB2312"/>
          <w:sz w:val="32"/>
        </w:rPr>
        <w:t>9.指导全县统计专业技术队伍建设；协助上级统计部门做好统计从业资格考试、统计专业技术职务考试报名工作及基层统计干部的教育培训工作。规范使用由国家、自治区、自治州提供的统计事业费和专项基本建设投资。</w:t>
      </w:r>
    </w:p>
    <w:p>
      <w:pPr>
        <w:spacing w:line="580" w:lineRule="exact"/>
        <w:ind w:firstLine="640"/>
        <w:jc w:val="both"/>
      </w:pPr>
      <w:r>
        <w:rPr>
          <w:rFonts w:ascii="仿宋_GB2312" w:hAnsi="仿宋_GB2312" w:eastAsia="仿宋_GB2312"/>
          <w:sz w:val="32"/>
        </w:rPr>
        <w:t>10.组织指导全县统计信息自动化建设，建立健全和管理全县统计信息自动化系统；组织协调和统一管理全县统计数据网络，指导全县统计信息化系统建设，并保证信息资料保密安全。</w:t>
      </w:r>
    </w:p>
    <w:p>
      <w:pPr>
        <w:spacing w:line="580" w:lineRule="exact"/>
        <w:ind w:firstLine="640"/>
        <w:jc w:val="both"/>
      </w:pPr>
      <w:r>
        <w:rPr>
          <w:rFonts w:ascii="仿宋_GB2312" w:hAnsi="仿宋_GB2312" w:eastAsia="仿宋_GB2312"/>
          <w:sz w:val="32"/>
        </w:rPr>
        <w:t>11.收集、整理各县（市）统计资料，开展对比分析研究，配合做好地区间统计资料交换合作项目。</w:t>
      </w:r>
    </w:p>
    <w:p>
      <w:pPr>
        <w:spacing w:line="580" w:lineRule="exact"/>
        <w:ind w:firstLine="640"/>
        <w:jc w:val="both"/>
      </w:pPr>
      <w:r>
        <w:rPr>
          <w:rFonts w:ascii="仿宋_GB2312" w:hAnsi="仿宋_GB2312" w:eastAsia="仿宋_GB2312"/>
          <w:sz w:val="32"/>
        </w:rPr>
        <w:t>12.负责落实自治州及且末县社会经济抽样调查工作，指导所属事业单位工作。</w:t>
      </w:r>
    </w:p>
    <w:p>
      <w:pPr>
        <w:spacing w:line="580" w:lineRule="exact"/>
        <w:ind w:firstLine="640"/>
        <w:jc w:val="both"/>
      </w:pPr>
      <w:r>
        <w:rPr>
          <w:rFonts w:ascii="仿宋_GB2312" w:hAnsi="仿宋_GB2312" w:eastAsia="仿宋_GB2312"/>
          <w:sz w:val="32"/>
        </w:rPr>
        <w:t>13.承担本部门党的建设、党风廉政和反腐败、精神文明、维护稳定、“访惠聚”、综合治理、民族团结、“两个全覆盖”、安全生产、扶贫等工作。</w:t>
      </w:r>
    </w:p>
    <w:p>
      <w:pPr>
        <w:spacing w:line="580" w:lineRule="exact"/>
        <w:ind w:firstLine="640"/>
        <w:jc w:val="both"/>
      </w:pPr>
      <w:r>
        <w:rPr>
          <w:rFonts w:ascii="仿宋_GB2312" w:hAnsi="仿宋_GB2312" w:eastAsia="仿宋_GB2312"/>
          <w:sz w:val="32"/>
        </w:rPr>
        <w:t>14.完成且末县党委、且末县人民政府交办的其他任务。</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且末县统计局无下属预算单位。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2025年度收入总计222.34万元，</w:t>
      </w:r>
      <w:r>
        <w:rPr>
          <w:rFonts w:ascii="仿宋_GB2312" w:hAnsi="仿宋_GB2312" w:eastAsia="仿宋_GB2312"/>
          <w:b w:val="0"/>
          <w:sz w:val="32"/>
        </w:rPr>
        <w:t>其中：本年收入合计214.46万元，使用非财政拨款结余（含专用结余）0.00万元，年初结转和结余7.88万元。</w:t>
      </w:r>
    </w:p>
    <w:p>
      <w:pPr>
        <w:spacing w:line="580" w:lineRule="exact"/>
        <w:ind w:firstLine="640"/>
        <w:jc w:val="both"/>
      </w:pPr>
      <w:r>
        <w:rPr>
          <w:rFonts w:ascii="仿宋_GB2312" w:hAnsi="仿宋_GB2312" w:eastAsia="仿宋_GB2312"/>
          <w:b/>
          <w:sz w:val="32"/>
        </w:rPr>
        <w:t>2025年度支出总计222.34万元，</w:t>
      </w:r>
      <w:r>
        <w:rPr>
          <w:rFonts w:ascii="仿宋_GB2312" w:hAnsi="仿宋_GB2312" w:eastAsia="仿宋_GB2312"/>
          <w:b w:val="0"/>
          <w:sz w:val="32"/>
        </w:rPr>
        <w:t>其中：本年支出合计221.91万元，结余分配0.00万元，年末结转和结余0.43万元。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减少50.68万元，下降18.56%，主要原因是：本年减少第五次全国经济普查项目资金，棉花测产调查经费及住户收支调查补贴经费；减少巴州调查队拨付资金-2024年住户调查经费，相应经费较上年减少。</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本年收入214.46万元，</w:t>
      </w:r>
      <w:r>
        <w:rPr>
          <w:rFonts w:ascii="仿宋_GB2312" w:hAnsi="仿宋_GB2312" w:eastAsia="仿宋_GB2312"/>
          <w:b w:val="0"/>
          <w:sz w:val="32"/>
        </w:rPr>
        <w:t>其中：财政拨款收入199.25万元，占92.91%；上级补助收入0.00万元，占0.00%；事业收入0.00万元，占0.00%；经营收入0.00万元，占0.00%；附属单位上缴收入0.00万元，占0.00%；其他收入15.21万元，占7.09%。</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本年支出221.91万元，</w:t>
      </w:r>
      <w:r>
        <w:rPr>
          <w:rFonts w:ascii="仿宋_GB2312" w:hAnsi="仿宋_GB2312" w:eastAsia="仿宋_GB2312"/>
          <w:b w:val="0"/>
          <w:sz w:val="32"/>
        </w:rPr>
        <w:t>其中：基本支出221.91万元，占100.00%；项目支出0.00万元，占0.00%；上缴上级支出0.00万元，占0.00%；经营支出0.00万元，占0.00%；对附属单位补助支出0.00万元，占0.00%。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2025年度财政拨款收入总计199.25万元，</w:t>
      </w:r>
      <w:r>
        <w:rPr>
          <w:rFonts w:ascii="仿宋_GB2312" w:hAnsi="仿宋_GB2312" w:eastAsia="仿宋_GB2312"/>
          <w:b w:val="0"/>
          <w:sz w:val="32"/>
        </w:rPr>
        <w:t>其中：年初财政拨款结转和结余0.00万元，本年财政拨款收入199.25万元。</w:t>
      </w:r>
      <w:r>
        <w:rPr>
          <w:rFonts w:ascii="仿宋_GB2312" w:hAnsi="仿宋_GB2312" w:eastAsia="仿宋_GB2312"/>
          <w:b/>
          <w:sz w:val="32"/>
        </w:rPr>
        <w:t>财政拨款支出总计199.25万元，</w:t>
      </w:r>
      <w:r>
        <w:rPr>
          <w:rFonts w:ascii="仿宋_GB2312" w:hAnsi="仿宋_GB2312" w:eastAsia="仿宋_GB2312"/>
          <w:b w:val="0"/>
          <w:sz w:val="32"/>
        </w:rPr>
        <w:t>其中：年末财政拨款结转和结余0.00万元，本年财政拨款支出199.25万元。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减少30.97万元，下降13.45%，主要原因是：本年减少第五次全国经济普查项目资金，棉花测产调查经费及住户收支调查补贴经费，相应经费较上年减少。</w:t>
      </w:r>
      <w:r>
        <w:rPr>
          <w:rFonts w:ascii="仿宋_GB2312" w:hAnsi="仿宋_GB2312" w:eastAsia="仿宋_GB2312"/>
          <w:b/>
          <w:sz w:val="32"/>
        </w:rPr>
        <w:t>与年初预算相比，</w:t>
      </w:r>
      <w:r>
        <w:rPr>
          <w:rFonts w:ascii="仿宋_GB2312" w:hAnsi="仿宋_GB2312" w:eastAsia="仿宋_GB2312"/>
          <w:b w:val="0"/>
          <w:sz w:val="32"/>
        </w:rPr>
        <w:t>年初预算数189.69万元，决算数199.25万元，预决算差异率5.04%，主要原因是：今年人员增加及工资调整。</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构运行等重点支出，体现在有关支出科目中。</w:t>
      </w:r>
    </w:p>
    <w:p>
      <w:pPr>
        <w:spacing w:line="580" w:lineRule="exact"/>
        <w:ind w:firstLine="640"/>
        <w:jc w:val="both"/>
      </w:pPr>
      <w:r>
        <w:rPr>
          <w:rFonts w:ascii="仿宋_GB2312" w:hAnsi="仿宋_GB2312" w:eastAsia="仿宋_GB2312"/>
          <w:b w:val="0"/>
          <w:sz w:val="32"/>
        </w:rPr>
        <w:t>按照支出功能分类，一般公共服务支出（类）统计信息事务（款）行政运行（项）的支出占本年财政拨款支出总额的比重最高，2025年度决算数为148.61万元，占比74.58%，主要用于人员工资福利及日常公用经费。</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2025年度一般公共预算财政拨款支出199.25万元，</w:t>
      </w:r>
      <w:r>
        <w:rPr>
          <w:rFonts w:ascii="仿宋_GB2312" w:hAnsi="仿宋_GB2312" w:eastAsia="仿宋_GB2312"/>
          <w:b w:val="0"/>
          <w:sz w:val="32"/>
        </w:rPr>
        <w:t>占本年支出合计的89.79%。</w:t>
      </w:r>
      <w:r>
        <w:rPr>
          <w:rFonts w:ascii="仿宋_GB2312" w:hAnsi="仿宋_GB2312" w:eastAsia="仿宋_GB2312"/>
          <w:b/>
          <w:sz w:val="32"/>
        </w:rPr>
        <w:t>与上年相比，</w:t>
      </w:r>
      <w:r>
        <w:rPr>
          <w:rFonts w:ascii="仿宋_GB2312" w:hAnsi="仿宋_GB2312" w:eastAsia="仿宋_GB2312"/>
          <w:b w:val="0"/>
          <w:sz w:val="32"/>
        </w:rPr>
        <w:t>减少30.97万元，下降13.45%，主要原因是：本年减少第五次全国经济普查项目资金，棉花测产调查经费及住户收支调查补贴经费，相应经费较上年减少。</w:t>
      </w:r>
      <w:r>
        <w:rPr>
          <w:rFonts w:ascii="仿宋_GB2312" w:hAnsi="仿宋_GB2312" w:eastAsia="仿宋_GB2312"/>
          <w:b/>
          <w:sz w:val="32"/>
        </w:rPr>
        <w:t>与年初预算相比，</w:t>
      </w:r>
      <w:r>
        <w:rPr>
          <w:rFonts w:ascii="仿宋_GB2312" w:hAnsi="仿宋_GB2312" w:eastAsia="仿宋_GB2312"/>
          <w:b w:val="0"/>
          <w:sz w:val="32"/>
        </w:rPr>
        <w:t>年初预算数189.69万元，决算数199.25万元，预决算差异率5.04%，主要原因是：今年调整人员工资增加年初预算数。</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1.一般公共服务支出（类）154.51万元，占77.55%。</w:t>
      </w:r>
    </w:p>
    <w:p>
      <w:pPr>
        <w:spacing w:line="580" w:lineRule="exact"/>
        <w:ind w:firstLine="640"/>
        <w:jc w:val="both"/>
      </w:pPr>
      <w:r>
        <w:rPr>
          <w:rFonts w:ascii="仿宋_GB2312" w:hAnsi="仿宋_GB2312" w:eastAsia="仿宋_GB2312"/>
          <w:b w:val="0"/>
          <w:sz w:val="32"/>
        </w:rPr>
        <w:t>2.社会保障和就业支出（类）20.26万元，占10.17%。</w:t>
      </w:r>
    </w:p>
    <w:p>
      <w:pPr>
        <w:spacing w:line="580" w:lineRule="exact"/>
        <w:ind w:firstLine="640"/>
        <w:jc w:val="both"/>
      </w:pPr>
      <w:r>
        <w:rPr>
          <w:rFonts w:ascii="仿宋_GB2312" w:hAnsi="仿宋_GB2312" w:eastAsia="仿宋_GB2312"/>
          <w:b w:val="0"/>
          <w:sz w:val="32"/>
        </w:rPr>
        <w:t>3.卫生健康支出（类）9.13万元，占4.58%。</w:t>
      </w:r>
    </w:p>
    <w:p>
      <w:pPr>
        <w:spacing w:line="580" w:lineRule="exact"/>
        <w:ind w:firstLine="640"/>
        <w:jc w:val="both"/>
      </w:pPr>
      <w:r>
        <w:rPr>
          <w:rFonts w:ascii="仿宋_GB2312" w:hAnsi="仿宋_GB2312" w:eastAsia="仿宋_GB2312"/>
          <w:b w:val="0"/>
          <w:sz w:val="32"/>
        </w:rPr>
        <w:t>4.住房保障支出（类）15.34万元，占7.70%。</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1.一般公共服务支出（类）统计信息事务（款）行政运行（项）：支出决算数为148.61万元，比上年决算增加6.14万元，增长4.31%，主要原因是：本年在职人员工资调增，导致相关人员经费较上年有所增加。</w:t>
      </w:r>
    </w:p>
    <w:p>
      <w:pPr>
        <w:spacing w:line="580" w:lineRule="exact"/>
        <w:ind w:firstLine="640"/>
        <w:jc w:val="both"/>
      </w:pPr>
      <w:r>
        <w:rPr>
          <w:rFonts w:ascii="仿宋_GB2312" w:hAnsi="仿宋_GB2312" w:eastAsia="仿宋_GB2312"/>
          <w:b w:val="0"/>
          <w:sz w:val="32"/>
        </w:rPr>
        <w:t>2.一般公共服务支出（类）统计信息事务（款）专项普查活动（项）：支出决算数为5.52万元，比上年决算减少37.08万元，下降87.04%，主要原因是：本年减少第五次全国经济普查项目资金，棉花测产调查经费及住户收支调查补贴经费，相应经费较上年减少。</w:t>
      </w:r>
    </w:p>
    <w:p>
      <w:pPr>
        <w:spacing w:line="580" w:lineRule="exact"/>
        <w:ind w:firstLine="640"/>
        <w:jc w:val="both"/>
      </w:pPr>
      <w:r>
        <w:rPr>
          <w:rFonts w:ascii="仿宋_GB2312" w:hAnsi="仿宋_GB2312" w:eastAsia="仿宋_GB2312"/>
          <w:b w:val="0"/>
          <w:sz w:val="32"/>
        </w:rPr>
        <w:t>3.一般公共服务支出（类）统计信息事务（款）统计抽样调查（项）：支出决算数为0.38万元，比上年决算减少0.82万元，下降68.33%，主要原因是：本年减少第五次全国经济普查项目资金，农业统计抽样调查经费，相应经费较上年减少。</w:t>
      </w:r>
    </w:p>
    <w:p>
      <w:pPr>
        <w:spacing w:line="580" w:lineRule="exact"/>
        <w:ind w:firstLine="640"/>
        <w:jc w:val="both"/>
      </w:pPr>
      <w:r>
        <w:rPr>
          <w:rFonts w:ascii="仿宋_GB2312" w:hAnsi="仿宋_GB2312" w:eastAsia="仿宋_GB2312"/>
          <w:b w:val="0"/>
          <w:sz w:val="32"/>
        </w:rPr>
        <w:t>4.社会保障和就业支出（类）行政事业单位养老支出（款）行政单位离退休（项）：支出决算数为0.94万元，比上年决算增加0.30万元，增长46.88%，主要原因是：本年增加退休人员基础绩效奖，退休费支出增加。</w:t>
      </w:r>
    </w:p>
    <w:p>
      <w:pPr>
        <w:spacing w:line="580" w:lineRule="exact"/>
        <w:ind w:firstLine="640"/>
        <w:jc w:val="both"/>
      </w:pPr>
      <w:r>
        <w:rPr>
          <w:rFonts w:ascii="仿宋_GB2312" w:hAnsi="仿宋_GB2312" w:eastAsia="仿宋_GB2312"/>
          <w:b w:val="0"/>
          <w:sz w:val="32"/>
        </w:rPr>
        <w:t>5.社会保障和就业支出（类）行政事业单位养老支出（款）机关事业单位基本养老保险缴费支出（项）：支出决算数为19.32万元，比上年决算增加0.92万元，增长5.00%，主要原因是：本年在职人员工资基数调增，养老缴费基数上涨，相应支出增加。</w:t>
      </w:r>
    </w:p>
    <w:p>
      <w:pPr>
        <w:spacing w:line="580" w:lineRule="exact"/>
        <w:ind w:firstLine="640"/>
        <w:jc w:val="both"/>
      </w:pPr>
      <w:r>
        <w:rPr>
          <w:rFonts w:ascii="仿宋_GB2312" w:hAnsi="仿宋_GB2312" w:eastAsia="仿宋_GB2312"/>
          <w:b w:val="0"/>
          <w:sz w:val="32"/>
        </w:rPr>
        <w:t>6.卫生健康支出（类）行政事业单位医疗（款）行政单位医疗（项）：支出决算数为7.56万元，比上年决算减少0.77万元，下降9.24%，主要原因是：本年在职人员减少，公务员医疗补助较上年减少。</w:t>
      </w:r>
    </w:p>
    <w:p>
      <w:pPr>
        <w:spacing w:line="580" w:lineRule="exact"/>
        <w:ind w:firstLine="640"/>
        <w:jc w:val="both"/>
      </w:pPr>
      <w:r>
        <w:rPr>
          <w:rFonts w:ascii="仿宋_GB2312" w:hAnsi="仿宋_GB2312" w:eastAsia="仿宋_GB2312"/>
          <w:b w:val="0"/>
          <w:sz w:val="32"/>
        </w:rPr>
        <w:t>7.卫生健康支出（类）行政事业单位医疗（款）公务员医疗补助（项）：支出决算数为1.57万元，比上年决算减少0.34万元，下降17.80%，主要原因是：本年在职人员减少，公务员医疗补助较上年减少。</w:t>
      </w:r>
    </w:p>
    <w:p>
      <w:pPr>
        <w:spacing w:line="580" w:lineRule="exact"/>
        <w:ind w:firstLine="640"/>
        <w:jc w:val="both"/>
      </w:pPr>
      <w:r>
        <w:rPr>
          <w:rFonts w:ascii="仿宋_GB2312" w:hAnsi="仿宋_GB2312" w:eastAsia="仿宋_GB2312"/>
          <w:b w:val="0"/>
          <w:sz w:val="32"/>
        </w:rPr>
        <w:t>8.住房保障支出（类）住房改革支出（款）住房公积金（项）：支出决算数为15.34万元，比上年决算增加0.65万元，增长4.42%，主要原因是：本年在职人员工资基数调增，公积金缴费基数上涨，相应支出增加。</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2025年度一般公共预算财政拨款基本支出199.25万元，其中：</w:t>
      </w:r>
      <w:r>
        <w:rPr>
          <w:rFonts w:ascii="仿宋_GB2312" w:hAnsi="仿宋_GB2312" w:eastAsia="仿宋_GB2312"/>
          <w:b/>
          <w:sz w:val="32"/>
        </w:rPr>
        <w:t>人员经费194.60万元，</w:t>
      </w:r>
      <w:r>
        <w:rPr>
          <w:rFonts w:ascii="仿宋_GB2312" w:hAnsi="仿宋_GB2312" w:eastAsia="仿宋_GB2312"/>
          <w:b w:val="0"/>
          <w:sz w:val="32"/>
        </w:rPr>
        <w:t>包括：基本工资、津贴补贴、奖金、绩效工资、机关事业单位基本养老保险缴费、职工基本医疗保险缴费、公务员医疗补助缴费、其他社会保障缴费、住房公积金、退休费、生活补助。</w:t>
      </w:r>
    </w:p>
    <w:p>
      <w:pPr>
        <w:spacing w:line="580" w:lineRule="exact"/>
        <w:ind w:firstLine="640"/>
        <w:jc w:val="both"/>
      </w:pPr>
      <w:r>
        <w:rPr>
          <w:rFonts w:ascii="仿宋_GB2312" w:hAnsi="仿宋_GB2312" w:eastAsia="仿宋_GB2312"/>
          <w:b/>
          <w:sz w:val="32"/>
        </w:rPr>
        <w:t>公用经费4.65万元，</w:t>
      </w:r>
      <w:r>
        <w:rPr>
          <w:rFonts w:ascii="仿宋_GB2312" w:hAnsi="仿宋_GB2312" w:eastAsia="仿宋_GB2312"/>
          <w:b w:val="0"/>
          <w:sz w:val="32"/>
        </w:rPr>
        <w:t>包括：办公费、水费、电费、租赁费、公务用车运行维护费、其他商品和服务支出、办公设备购置。</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2025年度财政拨款“三公”经费支出1.50万元，</w:t>
      </w:r>
      <w:r>
        <w:rPr>
          <w:rFonts w:ascii="仿宋_GB2312" w:hAnsi="仿宋_GB2312" w:eastAsia="仿宋_GB2312"/>
          <w:b w:val="0"/>
          <w:sz w:val="32"/>
        </w:rPr>
        <w:t>比上年增加0.00万元，增长0.00%，主要原因是：本单位财政拨款“三公”经费与上年一致无变化。</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公务用车购置及运行维护费支出1.50万元，占100.00%，比上年增加0.00万元，增长0.00%，主要原因是：本单位公务用车购置及运行维护费与上年一致无变化。</w:t>
      </w:r>
      <w:r>
        <w:rPr>
          <w:rFonts w:ascii="仿宋_GB2312" w:hAnsi="仿宋_GB2312" w:eastAsia="仿宋_GB2312"/>
          <w:b w:val="0"/>
          <w:sz w:val="32"/>
        </w:rPr>
        <w:t>公务接待费支出0.00万元，占0.00%，比上年增加0.00万元，增长0.00%，主要原因是：2024年与2025年均无公务接待费支出。</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1.50万元，其中：公务用车购置费0.00万元，公务用车运行维护费1.50万元。公务用车运行维护费开支内容包括车辆加油费、维修费、保险费、审车费、过路费等。公务用车购置数0辆，公务用车保有量1辆。国有资产占用情况中固定资产车辆1辆，与公务用车保有量差异原因是：本单位公务用车保有量与固定资产车辆一致无差异。</w:t>
      </w:r>
    </w:p>
    <w:p>
      <w:pPr>
        <w:spacing w:line="580" w:lineRule="exact"/>
        <w:ind w:firstLine="640"/>
        <w:jc w:val="both"/>
      </w:pPr>
      <w:r>
        <w:rPr>
          <w:rFonts w:ascii="仿宋_GB2312" w:hAnsi="仿宋_GB2312" w:eastAsia="仿宋_GB2312"/>
          <w:b w:val="0"/>
          <w:sz w:val="32"/>
        </w:rPr>
        <w:t>公务接待费0.00万元，开支内容包括本单位无公务接待费。单位全年安排的国内公务接待0批次，0人次。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1.50万元，决算数1.50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1.50万元，决算数1.50万元，预决算差异率0.00%，主要原因是：严格按照预算执行，预决算无差异。公务接待费全年预算数0.00万元，决算数0.00万元，预决算差异率0.00%，主要原因是：本单位无公务接待费。</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2025年度且末县统计局（行政单位和参照公务员法管理事业单位）机关运行经费支出4.65万元，比上年减少0.69万元，下降12.92%，主要原因是：本年减少全国第五次经济普查经费，导致公用经费减少。</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2025年度政府采购支出总额1.68万元，其中：政府采购货物支出0.32万元、政府采购工程支出0.00万元、政府采购服务支出1.36万元。</w:t>
      </w:r>
    </w:p>
    <w:p>
      <w:pPr>
        <w:spacing w:line="580" w:lineRule="exact"/>
        <w:ind w:firstLine="640"/>
        <w:jc w:val="both"/>
      </w:pPr>
      <w:r>
        <w:rPr>
          <w:rFonts w:ascii="仿宋_GB2312" w:hAnsi="仿宋_GB2312" w:eastAsia="仿宋_GB2312"/>
          <w:b w:val="0"/>
          <w:sz w:val="32"/>
        </w:rPr>
        <w:t>授予中小企业合同金额1.68万元，占政府采购支出总额的100.00%，其中：授予小微企业合同金额1.29万元，占政府采购支出总额的76.79%。</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0.00平方米，价值0.00万元。车辆1辆，价值6.00万元，其中：副部（省）级及以上领导用车0辆、主要负责人用车0辆、机要通信用车0辆、应急保障用车0辆、执法执勤用车0辆、特种专业技术用车0辆、离退休干部服务用车0辆、其他用车1辆，其他用车主要是：一般公务用车。单价100万元（含）以上设备（不含车辆）0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222.33万元，实际执行总额221.91万元；预算绩效评价项目3个，全年预算数23.30万元，全年执行数16.81万元。预算绩效管理取得的成效：一是通过明确绩效目标，使资金的投向更加精准，确保每一笔资金都用在刀刃上；二是加强了对项目执行过程的监控，及时发现并解决问题，确保项目按计划推进；三是为了达到绩效目标，积极谋划、精心组织项目实施，从“要我干”转变为“我要干”。发现的问题及原因：一是绩效理念尚未牢固树立；二是绩效管理的广度和深度不足；三是专业人员队伍力量配备不足。下一步改进措施：一是不断建立完善与全面实施绩效管理相适应的制度体系；二是以完善工作措施为着力点，不断提高预算绩效管理水平；三是以强化评价结果运用为落脚点，不断增强预算绩效管理的约束力。具体附整体支出绩效自评表、项目支出绩效自评表及项目支出绩效评价报告。</w:t>
      </w:r>
    </w:p>
    <w:p>
      <w:r>
        <w:br w:type="page"/>
      </w:r>
    </w:p>
    <w:tbl>
      <w:tblPr>
        <w:tblW w:type="auto" w:w="0"/>
        <w:tblLook w:firstColumn="1" w:firstRow="1" w:lastColumn="0" w:lastRow="0" w:noHBand="0" w:noVBand="1" w:val="04A0"/>
      </w:tblPr>
      <w:tblGrid>
        <w:gridCol w:w="1105"/>
        <w:gridCol w:w="1105"/>
        <w:gridCol w:w="1105"/>
        <w:gridCol w:w="1105"/>
        <w:gridCol w:w="1105"/>
        <w:gridCol w:w="1105"/>
        <w:gridCol w:w="1105"/>
        <w:gridCol w:w="1105"/>
      </w:tblGrid>
      <w:tr>
        <w:tc>
          <w:tcPr>
            <w:tcW w:type="dxa" w:w="1105"/>
            <w:gridSpan w:val="8"/>
            <w:vAlign w:val="center"/>
          </w:tcPr>
          <w:p>
            <w:pPr>
              <w:jc w:val="center"/>
            </w:pPr>
            <w:r>
              <w:rPr>
                <w:rFonts w:ascii="宋体" w:hAnsi="宋体" w:eastAsia="宋体"/>
                <w:sz w:val="24"/>
              </w:rPr>
              <w:t>单位整体支出绩效自评表</w:t>
            </w:r>
          </w:p>
        </w:tc>
      </w:tr>
      <w:tr>
        <w:tc>
          <w:tcPr>
            <w:tcW w:type="dxa" w:w="1105"/>
            <w:gridSpan w:val="8"/>
            <w:vAlign w:val="center"/>
          </w:tcPr>
          <w:p>
            <w:pPr>
              <w:jc w:val="center"/>
            </w:pPr>
            <w:r>
              <w:rPr>
                <w:rFonts w:ascii="宋体" w:hAnsi="宋体" w:eastAsia="宋体"/>
                <w:sz w:val="24"/>
              </w:rPr>
              <w:t>（2025年度）</w:t>
            </w:r>
          </w:p>
        </w:tc>
      </w:tr>
      <w:tr>
        <w:trPr>
          <w:cantSplit/>
        </w:trPr>
        <w:tc>
          <w:tcPr>
            <w:tcBorders>
              <w:top w:sz="10" w:val="single"/>
              <w:bottom w:sz="10" w:val="single"/>
              <w:start w:sz="10" w:val="single"/>
              <w:end w:sz="10" w:val="single"/>
              <w:insideV w:sz="10" w:val="single"/>
            </w:tcBorders>
            <w:vAlign w:val="center"/>
          </w:tcPr>
          <w:p>
            <w:pPr>
              <w:jc w:val="center"/>
            </w:pPr>
            <w:r>
              <w:rPr>
                <w:rFonts w:ascii="宋体" w:hAnsi="宋体" w:eastAsia="宋体"/>
                <w:sz w:val="16"/>
              </w:rPr>
              <w:t>单位名称</w:t>
            </w:r>
          </w:p>
        </w:tc>
        <w:tc>
          <w:tcPr>
            <w:gridSpan w:val="7"/>
            <w:tcBorders>
              <w:top w:sz="10" w:val="single"/>
              <w:bottom w:sz="10" w:val="single"/>
              <w:start w:sz="10" w:val="single"/>
              <w:end w:sz="10" w:val="single"/>
              <w:insideV w:sz="10" w:val="single"/>
            </w:tcBorders>
            <w:vAlign w:val="center"/>
          </w:tcPr>
          <w:p>
            <w:pPr>
              <w:jc w:val="center"/>
            </w:pPr>
            <w:r>
              <w:rPr>
                <w:rFonts w:ascii="宋体" w:hAnsi="宋体" w:eastAsia="宋体"/>
                <w:sz w:val="16"/>
              </w:rPr>
              <w:t>且末县统计局</w:t>
            </w:r>
          </w:p>
        </w:tc>
      </w:tr>
      <w:tr>
        <w:trPr>
          <w:cantSplit/>
        </w:trPr>
        <w:tc>
          <w:tcPr>
            <w:tcW w:type="dxa" w:w="1105"/>
            <w:vMerge w:val="restart"/>
            <w:tcBorders>
              <w:start w:sz="10" w:val="single"/>
              <w:top w:sz="10" w:val="single"/>
              <w:end w:sz="10" w:val="single"/>
              <w:bottom w:sz="10" w:val="single"/>
              <w:insideV w:sz="10" w:val="single"/>
            </w:tcBorders>
            <w:vAlign w:val="center"/>
          </w:tcPr>
          <w:p>
            <w:pPr>
              <w:jc w:val="center"/>
            </w:pPr>
            <w:r>
              <w:rPr>
                <w:rFonts w:ascii="宋体" w:hAnsi="宋体" w:eastAsia="宋体"/>
                <w:sz w:val="16"/>
              </w:rPr>
              <w:t>部门资金（万元）</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资金来源</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年初预算数</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全年预算数</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全年执行数</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分值权重</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执行率</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得分</w:t>
            </w:r>
          </w:p>
        </w:tc>
      </w:tr>
      <w:tr>
        <w:trPr>
          <w:cantSplit/>
        </w:trPr>
        <w:tc>
          <w:tcPr>
            <w:tcW w:type="dxa" w:w="1105"/>
            <w:vMerge/>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年度总资金</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212.59</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222.33</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221.91</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99.81%</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9.9</w:t>
            </w:r>
          </w:p>
        </w:tc>
      </w:tr>
      <w:tr>
        <w:trPr>
          <w:cantSplit/>
        </w:trPr>
        <w:tc>
          <w:tcPr>
            <w:tcW w:type="dxa" w:w="1105"/>
            <w:vMerge/>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其中：上级安排（万元）</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5.52</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0.00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0.00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r>
      <w:tr>
        <w:trPr>
          <w:cantSplit/>
        </w:trPr>
        <w:tc>
          <w:tcPr>
            <w:tcW w:type="dxa" w:w="1105"/>
            <w:vMerge/>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本级安排（万元）</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184.17</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222.33</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221.91</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r>
      <w:tr>
        <w:trPr>
          <w:cantSplit/>
        </w:trPr>
        <w:tc>
          <w:tcPr>
            <w:tcW w:type="dxa" w:w="1105"/>
            <w:vMerge/>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其他资金（万元）</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22.90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0.00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0.00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r>
      <w:tr>
        <w:trPr>
          <w:cantSplit/>
        </w:trPr>
        <w:tc>
          <w:tcPr>
            <w:tcW w:type="dxa" w:w="1105"/>
            <w:vMerge w:val="restart"/>
            <w:tcBorders>
              <w:start w:sz="10" w:val="single"/>
              <w:top w:sz="10" w:val="single"/>
              <w:end w:sz="10" w:val="single"/>
              <w:bottom w:sz="10" w:val="single"/>
              <w:insideV w:sz="10" w:val="single"/>
            </w:tcBorders>
            <w:vAlign w:val="center"/>
          </w:tcPr>
          <w:p>
            <w:pPr>
              <w:jc w:val="center"/>
            </w:pPr>
            <w:r>
              <w:rPr>
                <w:rFonts w:ascii="宋体" w:hAnsi="宋体" w:eastAsia="宋体"/>
                <w:sz w:val="16"/>
              </w:rPr>
              <w:t>年度总体目标</w:t>
            </w:r>
          </w:p>
        </w:tc>
        <w:tc>
          <w:tcPr>
            <w:tcW w:type="dxa" w:w="1105"/>
            <w:gridSpan w:val="3"/>
            <w:tcBorders>
              <w:start w:sz="10" w:val="single"/>
              <w:top w:sz="10" w:val="single"/>
              <w:end w:sz="10" w:val="single"/>
              <w:bottom w:sz="10" w:val="single"/>
              <w:insideV w:sz="10" w:val="single"/>
            </w:tcBorders>
            <w:vAlign w:val="center"/>
          </w:tcPr>
          <w:p>
            <w:pPr>
              <w:jc w:val="center"/>
            </w:pPr>
            <w:r>
              <w:rPr>
                <w:rFonts w:ascii="宋体" w:hAnsi="宋体" w:eastAsia="宋体"/>
                <w:sz w:val="16"/>
              </w:rPr>
              <w:t>预期目标</w:t>
            </w:r>
          </w:p>
        </w:tc>
        <w:tc>
          <w:tcPr>
            <w:tcW w:type="dxa" w:w="1105"/>
            <w:gridSpan w:val="4"/>
            <w:tcBorders>
              <w:start w:sz="10" w:val="single"/>
              <w:top w:sz="10" w:val="single"/>
              <w:end w:sz="10" w:val="single"/>
              <w:bottom w:sz="10" w:val="single"/>
              <w:insideV w:sz="10" w:val="single"/>
            </w:tcBorders>
            <w:vAlign w:val="center"/>
          </w:tcPr>
          <w:p>
            <w:pPr>
              <w:jc w:val="center"/>
            </w:pPr>
            <w:r>
              <w:rPr>
                <w:rFonts w:ascii="宋体" w:hAnsi="宋体" w:eastAsia="宋体"/>
                <w:sz w:val="16"/>
              </w:rPr>
              <w:t>实际完成情况</w:t>
            </w:r>
          </w:p>
        </w:tc>
      </w:tr>
      <w:tr>
        <w:trPr>
          <w:cantSplit/>
        </w:trPr>
        <w:tc>
          <w:tcPr>
            <w:tcW w:type="dxa" w:w="1105"/>
            <w:vMerge/>
            <w:tcBorders>
              <w:start w:sz="10" w:val="single"/>
              <w:top w:sz="10" w:val="single"/>
              <w:end w:sz="10" w:val="single"/>
              <w:bottom w:sz="10" w:val="single"/>
              <w:insideV w:sz="10" w:val="single"/>
            </w:tcBorders>
          </w:tcPr>
          <w:p/>
        </w:tc>
        <w:tc>
          <w:tcPr>
            <w:tcW w:type="dxa" w:w="1105"/>
            <w:gridSpan w:val="3"/>
            <w:tcBorders>
              <w:start w:sz="10" w:val="single"/>
              <w:top w:sz="10" w:val="single"/>
              <w:end w:sz="10" w:val="single"/>
              <w:bottom w:sz="10" w:val="single"/>
              <w:insideV w:sz="10" w:val="single"/>
            </w:tcBorders>
            <w:vAlign w:val="center"/>
          </w:tcPr>
          <w:p>
            <w:pPr>
              <w:jc w:val="both"/>
            </w:pPr>
            <w:r>
              <w:rPr>
                <w:rFonts w:ascii="宋体" w:hAnsi="宋体" w:eastAsia="宋体"/>
                <w:sz w:val="16"/>
              </w:rPr>
              <w:t>此项资金共计212.59万元，1、按时完成全年的58家企业联网直报工作、规模企业申报工作；2、按时参加组织的各项专业培训15人次； 3、完成其他各类统计调查、民意调查，如每月完成32户劳动力调查； 4、按时完成各专业32家企业的数据质量核查工作；5、组织完成其他统计相关工作。通过此项资金支付确保单位日常工作的顺利开展、提升工作效率、提高干部积极性，达到增强单位业务能力，更高效、稳定地履行职能的效果。</w:t>
            </w:r>
          </w:p>
        </w:tc>
        <w:tc>
          <w:tcPr>
            <w:tcW w:type="dxa" w:w="1105"/>
            <w:gridSpan w:val="4"/>
            <w:tcBorders>
              <w:start w:sz="10" w:val="single"/>
              <w:top w:sz="10" w:val="single"/>
              <w:end w:sz="10" w:val="single"/>
              <w:bottom w:sz="10" w:val="single"/>
              <w:insideV w:sz="10" w:val="single"/>
            </w:tcBorders>
            <w:vAlign w:val="center"/>
          </w:tcPr>
          <w:p>
            <w:pPr>
              <w:jc w:val="both"/>
            </w:pPr>
            <w:r>
              <w:rPr>
                <w:rFonts w:ascii="宋体" w:hAnsi="宋体" w:eastAsia="宋体"/>
                <w:sz w:val="16"/>
              </w:rPr>
              <w:t>2025年且末县统计局年初预算数222.34万元，全年执行数221.91万元，1、按时完成了全年的58家企业联网直报工作、规模企业申报工作；2、按时参加了组织的各项专业培训15人次； 3、完成其他各类统计调查、民意调查，如每月完成32户劳动力调查； 4、按时完成了各专业32家企业的数据质量核查工作；5、组织完成其他统计相关工作。通过此项资金支付确保单位日常工作的顺利开展、提升工作效率、提高干部积极性，达到增强单位业务能力，更高效、稳定地履行职能的效果。</w:t>
            </w:r>
          </w:p>
        </w:tc>
      </w:tr>
      <w:tr>
        <w:trPr>
          <w:cantSplit/>
        </w:trPr>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一级指标</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二级指标</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三级指标</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预期指标值</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指标值设定依据</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分值权重</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实际完成指标值</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得分</w:t>
            </w:r>
          </w:p>
        </w:tc>
      </w:tr>
      <w:tr>
        <w:trPr>
          <w:cantSplit/>
        </w:trPr>
        <w:tc>
          <w:tcPr>
            <w:tcW w:type="dxa" w:w="1105"/>
            <w:vMerge w:val="restart"/>
            <w:tcBorders>
              <w:start w:sz="10" w:val="single"/>
              <w:top w:sz="10" w:val="single"/>
              <w:end w:sz="10" w:val="single"/>
              <w:bottom w:sz="10" w:val="single"/>
              <w:insideV w:sz="10" w:val="single"/>
            </w:tcBorders>
            <w:vAlign w:val="center"/>
          </w:tcPr>
          <w:p>
            <w:pPr>
              <w:jc w:val="center"/>
            </w:pPr>
            <w:r>
              <w:rPr>
                <w:rFonts w:ascii="宋体" w:hAnsi="宋体" w:eastAsia="宋体"/>
                <w:sz w:val="16"/>
              </w:rPr>
              <w:t>运行成本</w:t>
            </w:r>
          </w:p>
        </w:tc>
        <w:tc>
          <w:tcPr>
            <w:tcW w:type="dxa" w:w="1105"/>
            <w:vMerge w:val="restart"/>
            <w:tcBorders>
              <w:start w:sz="10" w:val="single"/>
              <w:top w:sz="10" w:val="single"/>
              <w:end w:sz="10" w:val="single"/>
              <w:bottom w:sz="10" w:val="single"/>
              <w:insideV w:sz="10" w:val="single"/>
            </w:tcBorders>
            <w:vAlign w:val="center"/>
          </w:tcPr>
          <w:p>
            <w:pPr>
              <w:jc w:val="center"/>
            </w:pPr>
            <w:r>
              <w:rPr>
                <w:rFonts w:ascii="宋体" w:hAnsi="宋体" w:eastAsia="宋体"/>
                <w:sz w:val="16"/>
              </w:rPr>
              <w:t>数量指标</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劳动力调查户数（户）</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=32户/月</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通知文件</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18</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=32户/月</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18</w:t>
            </w:r>
          </w:p>
        </w:tc>
      </w:tr>
      <w:tr>
        <w:trPr>
          <w:cantSplit/>
        </w:trPr>
        <w:tc>
          <w:tcPr>
            <w:tcW w:type="dxa" w:w="1105"/>
            <w:vMerge/>
            <w:tcBorders>
              <w:start w:sz="10" w:val="single"/>
              <w:top w:sz="10" w:val="single"/>
              <w:end w:sz="10" w:val="single"/>
              <w:bottom w:sz="10" w:val="single"/>
              <w:insideV w:sz="10" w:val="single"/>
            </w:tcBorders>
          </w:tcPr>
          <w:p/>
        </w:tc>
        <w:tc>
          <w:tcPr>
            <w:tcW w:type="dxa" w:w="1105"/>
            <w:vMerge/>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联网直报企业报表上报数（家）</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&gt;=58家</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统计制度要求</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16</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=58家</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16</w:t>
            </w:r>
          </w:p>
        </w:tc>
      </w:tr>
      <w:tr>
        <w:trPr>
          <w:cantSplit/>
        </w:trPr>
        <w:tc>
          <w:tcPr>
            <w:tcW w:type="dxa" w:w="1105"/>
            <w:vMerge/>
            <w:tcBorders>
              <w:start w:sz="10" w:val="single"/>
              <w:top w:sz="10" w:val="single"/>
              <w:end w:sz="10" w:val="single"/>
              <w:bottom w:sz="10" w:val="single"/>
              <w:insideV w:sz="10" w:val="single"/>
            </w:tcBorders>
          </w:tcPr>
          <w:p/>
        </w:tc>
        <w:tc>
          <w:tcPr>
            <w:tcW w:type="dxa" w:w="1105"/>
            <w:vMerge/>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参加专业培训次数（次)</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&gt;=15人次</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通知文件</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19</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=15人次</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19</w:t>
            </w:r>
          </w:p>
        </w:tc>
      </w:tr>
      <w:tr>
        <w:trPr>
          <w:cantSplit/>
        </w:trPr>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管理效率</w:t>
            </w:r>
          </w:p>
        </w:tc>
        <w:tc>
          <w:tcPr>
            <w:tcW w:type="dxa" w:w="1105"/>
            <w:vMerge/>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数据质量核查数量</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=32家</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通知文件</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25</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=32家</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25</w:t>
            </w:r>
          </w:p>
        </w:tc>
      </w:tr>
      <w:tr>
        <w:trPr>
          <w:cantSplit/>
        </w:trPr>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履职效能</w:t>
            </w:r>
          </w:p>
        </w:tc>
        <w:tc>
          <w:tcPr>
            <w:tcW w:type="dxa" w:w="1105"/>
            <w:vMerge/>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统计执法检查户数（户）</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&gt;=12次</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统计制度要求</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12</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=12次</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12</w:t>
            </w:r>
          </w:p>
        </w:tc>
      </w:tr>
      <w:tr>
        <w:trPr>
          <w:cantSplit/>
        </w:trPr>
        <w:tc>
          <w:tcPr>
            <w:tcW w:type="dxa" w:w="1105"/>
            <w:gridSpan w:val="5"/>
            <w:tcBorders>
              <w:start w:sz="10" w:val="single"/>
              <w:top w:sz="10" w:val="single"/>
              <w:end w:sz="10" w:val="single"/>
              <w:bottom w:sz="10" w:val="single"/>
              <w:insideV w:sz="10" w:val="single"/>
            </w:tcBorders>
            <w:vAlign w:val="center"/>
          </w:tcPr>
          <w:p>
            <w:pPr>
              <w:jc w:val="center"/>
            </w:pPr>
            <w:r>
              <w:rPr>
                <w:rFonts w:ascii="宋体" w:hAnsi="宋体" w:eastAsia="宋体"/>
                <w:sz w:val="16"/>
              </w:rPr>
              <w:t>总分</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100</w:t>
            </w:r>
          </w:p>
        </w:tc>
        <w:tc>
          <w:tcPr>
            <w:tcW w:type="dxa" w:w="1105"/>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99.9</w:t>
            </w:r>
          </w:p>
        </w:tc>
      </w:tr>
    </w:tbl>
    <w:p>
      <w:r>
        <w:br w:type="page"/>
      </w:r>
    </w:p>
    <w:p>
      <w:pPr>
        <w:sectPr>
          <w:footerReference r:id="rId3" w:type="default"/>
          <w:pgSz w:w="11906" w:h="16838"/>
          <w:pgMar w:top="2098" w:right="1531" w:bottom="1985" w:left="1531" w:header="851" w:footer="992" w:gutter="0"/>
          <w:cols w:space="720" w:num="1"/>
          <w:docGrid w:type="lines" w:linePitch="312" w:charSpace="0"/>
        </w:sectPr>
      </w:pP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389"/>
        <w:gridCol w:w="562"/>
        <w:gridCol w:w="562"/>
        <w:gridCol w:w="1058"/>
        <w:gridCol w:w="854"/>
        <w:gridCol w:w="389"/>
        <w:gridCol w:w="562"/>
        <w:gridCol w:w="562"/>
        <w:gridCol w:w="562"/>
        <w:gridCol w:w="562"/>
        <w:gridCol w:w="562"/>
        <w:gridCol w:w="562"/>
        <w:gridCol w:w="562"/>
        <w:gridCol w:w="562"/>
      </w:tblGrid>
      <w:tr>
        <w:trPr>
          <w:trHeight w:val="42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华文中宋" w:hAnsi="华文中宋" w:eastAsia="华文中宋"/>
                <w:b/>
                <w:i w:val="0"/>
                <w:sz w:val="40"/>
              </w:rPr>
              <w:t>项目支出绩效自评表</w:t>
            </w:r>
          </w:p>
        </w:tc>
      </w:tr>
      <w:tr>
        <w:trPr>
          <w:trHeight w:val="80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i w:val="0"/>
                <w:sz w:val="22"/>
              </w:rPr>
              <w:t>(2025年度)</w:t>
            </w:r>
          </w:p>
        </w:tc>
      </w:tr>
      <w:t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新财行〔2024〕432号2025年自治区人口抽样调查经费</w:t>
            </w:r>
          </w:p>
        </w:tc>
      </w:tr>
      <w:tr>
        <w:trPr>
          <w:trHeight w:val="60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且末县统计局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且末县统计局</w:t>
            </w:r>
          </w:p>
        </w:tc>
      </w:tr>
      <w:tr>
        <w:trPr>
          <w:trHeight w:val="44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资金来源</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全年执行数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分值权重</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执行率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得分</w:t>
            </w:r>
          </w:p>
        </w:tc>
      </w:tr>
      <w:tr>
        <w:trPr>
          <w:trHeight w:val="44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0.40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0.40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0.38</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95.00%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10.00</w:t>
            </w:r>
          </w:p>
        </w:tc>
      </w:tr>
      <w:tr>
        <w:trPr>
          <w:trHeight w:val="44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0.38</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r>
      <w:tr>
        <w:trPr>
          <w:trHeight w:val="44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r>
      <w:tr>
        <w:trPr>
          <w:trHeight w:val="60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年度总体目标</w:t>
            </w:r>
          </w:p>
        </w:tc>
        <w:tc>
          <w:tcPr>
            <w:tcW w:type="dxa" w:w="593"/>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总体目标</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总体目标完成情况</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在自治区统计局统一安排下，1、及时参加人口抽样调查培训工作；2、及时完成人口抽样调查样本工作；3、及时完成人口抽样调查辅助调查员选聘工作；4、及时完成人口抽样调查的录入审核等工作；5、及时发放人口抽样两员的补贴发放工作。</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2025年人口抽样调查经费0.4万元，全年执行数0.4万元，1、按时完成了人口抽样调查培训工作；2、按时完成了人口抽样调查样本工作；3、按时完成了人口抽样调查辅助调查员选聘工作；4、按时完成了人口抽样调查的录入审核等工作；5、按时发放了人口抽样两员的补贴；提升了对人口动态的监测能力和数据时效性，达到了在普查间隔期掌握人口演变趋势，带来了广泛的社会效益。</w:t>
            </w:r>
          </w:p>
        </w:tc>
      </w:tr>
      <w:tr>
        <w:trPr>
          <w:trHeight w:val="1920" w:hRule="atLeast"/>
        </w:trPr>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一级指标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二级指标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三级指标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指标值</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指标值设置依据</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上年完成值</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指标分值权重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指标赋分规则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佐证资料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指标实际完成值</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完成率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指标得分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偏差原因分析及改进措施</w:t>
            </w:r>
          </w:p>
        </w:tc>
      </w:tr>
      <w:tr>
        <w:trPr>
          <w:trHeight w:val="60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参加培训人员出差次数（次）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&gt;=2次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=4次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200%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出差次数（次）预估不精准</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人口样本抽样的村（社区）数量</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=15个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=15个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人口抽样调查数据质量准确性</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“两员”补助资金发放及时性</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次年2月前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次年2月前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自治区承担“两员”补贴经费</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&lt;=0.4万元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=0.38万元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17.5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节约资金</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为党委、政府决策及相关部门制定工作规划提供参考的影响程度</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有待提高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说明材料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显著提高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“普查两员”满意度</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说明材料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50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总分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85.50分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r>
    </w:tbl>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389"/>
        <w:gridCol w:w="562"/>
        <w:gridCol w:w="562"/>
        <w:gridCol w:w="1058"/>
        <w:gridCol w:w="854"/>
        <w:gridCol w:w="389"/>
        <w:gridCol w:w="562"/>
        <w:gridCol w:w="562"/>
        <w:gridCol w:w="562"/>
        <w:gridCol w:w="562"/>
        <w:gridCol w:w="562"/>
        <w:gridCol w:w="562"/>
        <w:gridCol w:w="562"/>
        <w:gridCol w:w="562"/>
      </w:tblGrid>
      <w:tr>
        <w:trPr>
          <w:trHeight w:val="42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华文中宋" w:hAnsi="华文中宋" w:eastAsia="华文中宋"/>
                <w:b/>
                <w:i w:val="0"/>
                <w:sz w:val="40"/>
              </w:rPr>
              <w:t>项目支出绩效自评表</w:t>
            </w:r>
          </w:p>
        </w:tc>
      </w:tr>
      <w:tr>
        <w:trPr>
          <w:trHeight w:val="80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i w:val="0"/>
                <w:sz w:val="22"/>
              </w:rPr>
              <w:t>(2025年度)</w:t>
            </w:r>
          </w:p>
        </w:tc>
      </w:tr>
      <w:t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统计业务经费（住户调查补贴自有资金）</w:t>
            </w:r>
          </w:p>
        </w:tc>
      </w:tr>
      <w:tr>
        <w:trPr>
          <w:trHeight w:val="60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且末县统计局本级</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且末县统计局</w:t>
            </w:r>
          </w:p>
        </w:tc>
      </w:tr>
      <w:tr>
        <w:trPr>
          <w:trHeight w:val="44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资金来源</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全年执行数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分值权重</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执行率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得分</w:t>
            </w:r>
          </w:p>
        </w:tc>
      </w:tr>
      <w:tr>
        <w:trPr>
          <w:trHeight w:val="44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15.30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15.30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8.83</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57.71%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0.00</w:t>
            </w:r>
          </w:p>
        </w:tc>
      </w:tr>
      <w:tr>
        <w:trPr>
          <w:trHeight w:val="44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r>
      <w:tr>
        <w:trPr>
          <w:trHeight w:val="44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15.3</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15.3</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r>
      <w:tr>
        <w:trPr>
          <w:trHeight w:val="60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年度总体目标</w:t>
            </w:r>
          </w:p>
        </w:tc>
        <w:tc>
          <w:tcPr>
            <w:tcW w:type="dxa" w:w="593"/>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总体目标</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总体目标完成情况</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2025年住户收支调查补贴，项目总资金15.3万元，用于且末县100户调查户及10名辅助调查员发放调查补贴，补贴标准：调查户100元/月/户，辅助调查员275元/月/人。住户收支调查补贴发放提升了数据质量和代表性，增强了住户满意度，支持政策制定，并带来了广泛的社会效益。</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2025年住户收支调查补贴，项目年初预算15.3万元，全年预算数8.83万元，全年执行数8.83万元。发放了且末县100户调查户记账补贴及10名辅助调查员调查补贴，住户收支调查补贴发放提升了数据质量和代表性，增强了政策与民众需求的匹配度，并带来了广泛的社会效益。</w:t>
            </w:r>
          </w:p>
        </w:tc>
      </w:tr>
      <w:tr>
        <w:trPr>
          <w:trHeight w:val="1920" w:hRule="atLeast"/>
        </w:trPr>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一级指标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二级指标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三级指标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指标值</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指标值设置依据</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上年完成值</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指标分值权重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指标赋分规则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佐证资料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指标实际完成值</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完成率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指标得分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偏差原因分析及改进措施</w:t>
            </w:r>
          </w:p>
        </w:tc>
      </w:tr>
      <w:tr>
        <w:trPr>
          <w:trHeight w:val="60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调查居民户数（户）</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=100户</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=100户</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调查户补贴标准执行率（%）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&gt;=100元/户/月</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=100元/户/月</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补贴发放及时率（%）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&gt;=100%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调查记账户补贴发放额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&lt;=12万元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50%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资金到位后及时发放</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辅助调查员补贴发放额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&lt;=3.3万元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=2.83万元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85.45%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6.36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资金到位后及时发放</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提高统计数据及分析报告的应用程度</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有效提高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说明材料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显著提高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基层统计机构满意度</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说明材料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50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总分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76.36分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r>
    </w:tbl>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389"/>
        <w:gridCol w:w="562"/>
        <w:gridCol w:w="562"/>
        <w:gridCol w:w="1058"/>
        <w:gridCol w:w="854"/>
        <w:gridCol w:w="389"/>
        <w:gridCol w:w="562"/>
        <w:gridCol w:w="562"/>
        <w:gridCol w:w="562"/>
        <w:gridCol w:w="562"/>
        <w:gridCol w:w="562"/>
        <w:gridCol w:w="562"/>
        <w:gridCol w:w="562"/>
        <w:gridCol w:w="562"/>
      </w:tblGrid>
      <w:tr>
        <w:trPr>
          <w:trHeight w:val="42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华文中宋" w:hAnsi="华文中宋" w:eastAsia="华文中宋"/>
                <w:b/>
                <w:i w:val="0"/>
                <w:sz w:val="40"/>
              </w:rPr>
              <w:t>项目支出绩效自评表</w:t>
            </w:r>
          </w:p>
        </w:tc>
      </w:tr>
      <w:tr>
        <w:trPr>
          <w:trHeight w:val="80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i w:val="0"/>
                <w:sz w:val="22"/>
              </w:rPr>
              <w:t>(2025年度)</w:t>
            </w:r>
          </w:p>
        </w:tc>
      </w:tr>
      <w:t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统计业务经费（自有资金）</w:t>
            </w:r>
          </w:p>
        </w:tc>
      </w:tr>
      <w:tr>
        <w:trPr>
          <w:trHeight w:val="60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且末县统计局本级</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且末县统计局</w:t>
            </w:r>
          </w:p>
        </w:tc>
      </w:tr>
      <w:tr>
        <w:trPr>
          <w:trHeight w:val="44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资金来源</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全年执行数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分值权重</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执行率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得分</w:t>
            </w:r>
          </w:p>
        </w:tc>
      </w:tr>
      <w:tr>
        <w:trPr>
          <w:trHeight w:val="44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7.60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7.60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7.60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10.00</w:t>
            </w:r>
          </w:p>
        </w:tc>
      </w:tr>
      <w:tr>
        <w:trPr>
          <w:trHeight w:val="44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r>
      <w:tr>
        <w:trPr>
          <w:trHeight w:val="44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7.6</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7.6</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r>
      <w:tr>
        <w:trPr>
          <w:trHeight w:val="60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年度总体目标</w:t>
            </w:r>
          </w:p>
        </w:tc>
        <w:tc>
          <w:tcPr>
            <w:tcW w:type="dxa" w:w="593"/>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总体目标</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总体目标完成情况</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统计业务经费（自有资金）7.6万元，用于单位不多于8台办公设备的维修，报销单位人员不少于18人次的出差费用，单位聘用不少于1名的劳务派遣人员，确保了单位日常工作的顺利开展，维持了基本的办公秩序，推动了单位核心业务的持续发展。</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统计业务经费（自有资金）7.6万元，全年执行数7.6万元，及时报销了单位人员出差的费用，提高了单位人员学习工作的积极性；完成了1名劳务派遣人员的聘用，提升了专业工作完成的效率；确保了单位日常工作的顺利开展，维持了基本的办公秩序，推动了单位核心业务的持续发展。</w:t>
            </w:r>
          </w:p>
        </w:tc>
      </w:tr>
      <w:tr>
        <w:trPr>
          <w:trHeight w:val="1920" w:hRule="atLeast"/>
        </w:trPr>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一级指标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二级指标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三级指标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指标值</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指标值设置依据</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上年完成值</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指标分值权重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指标赋分规则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佐证资料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指标实际完成值</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完成率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指标得分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偏差原因分析及改进措施</w:t>
            </w:r>
          </w:p>
        </w:tc>
      </w:tr>
      <w:tr>
        <w:trPr>
          <w:trHeight w:val="60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培训人次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&gt;=18次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=18次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维护设备数量（个）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&lt;=8次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=7次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87.5%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3.44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聘用劳务派遣人员人数</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培训完成率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&gt;=100%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培训完成及时率（%）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&gt;=100%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劳务派遣人员服务费用</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&lt;=6万元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=4.73万元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78.83%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9.41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资金到位后及时发放，后期仅保障了劳务派遣人员社保医保费用</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带动就业人数（人）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说明材料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培训人员满意度</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其他标准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说明材料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50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总分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87.85分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r>
    </w:tbl>
    <w:p>
      <w:r>
        <w:br w:type="page"/>
      </w:r>
    </w:p>
    <w:p>
      <w:pPr>
        <w:sectPr>
          <w:type w:val="continuous"/>
          <w:pgSz w:w="11906" w:h="16838"/>
          <w:pgMar w:top="1440" w:right="1800" w:bottom="1440" w:left="1800" w:header="851" w:footer="992" w:gutter="0"/>
          <w:cols w:space="720" w:num="1"/>
          <w:docGrid w:type="lines" w:linePitch="312" w:charSpace="0"/>
        </w:sectPr>
      </w:pP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本单位无其他需说明的事项。</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