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8C1F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pacing w:val="6"/>
          <w:sz w:val="44"/>
          <w:szCs w:val="44"/>
          <w:highlight w:val="none"/>
          <w:lang w:val="en-US" w:eastAsia="zh-CN"/>
        </w:rPr>
      </w:pPr>
      <w:bookmarkStart w:id="0" w:name="_GoBack"/>
      <w:bookmarkEnd w:id="0"/>
    </w:p>
    <w:p w14:paraId="6413A3D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6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6"/>
          <w:sz w:val="44"/>
          <w:szCs w:val="44"/>
          <w:highlight w:val="none"/>
          <w:lang w:val="en-US" w:eastAsia="zh-CN"/>
        </w:rPr>
        <w:t>且末县2026年上半年主要经济指标</w:t>
      </w:r>
    </w:p>
    <w:p w14:paraId="61A4CF9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6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6"/>
          <w:sz w:val="44"/>
          <w:szCs w:val="44"/>
          <w:highlight w:val="none"/>
          <w:lang w:val="en-US" w:eastAsia="zh-CN"/>
        </w:rPr>
        <w:t>运行情况分析</w:t>
      </w:r>
    </w:p>
    <w:p w14:paraId="51A68BD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</w:p>
    <w:p w14:paraId="62193B3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今年以来，在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以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习近平同志为核心的党中央坚强领导下，全县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上下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认真贯彻落实中央、自治区、自治州各项决策部署，上半年从主要经济数据来看，我县经济发展质效虽稳步提升，工业经济增速高位攀升，主导产业拉动强劲，但仍然面临个别主要经济指标增长瓶颈，按年初确定的目标来看，全县固定资产投资项目进度仍然不容乐观，商贸流通方面，我县限额以上传统批发零售行业增长乏力、拉动消费市场增长力度有限、消费分流及购买力外流、文化旅游业对消费带动作用不够明显。下半年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仍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需加压奋进，攻坚克难，不折不扣落实县委、县政府各项决策部署，聚力破解发展难题，全力以赴拼经济、抓项目、育产业、扩需求。现将1-6月主要经济指标汇报如下。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highlight w:val="none"/>
          <w:lang w:val="en-US" w:eastAsia="zh-CN"/>
        </w:rPr>
        <w:t>（地区生产总值和城乡居民人均可支配收入以最终反馈数据为准）。</w:t>
      </w:r>
    </w:p>
    <w:p w14:paraId="2BD22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一、1-6月规上工业增加值平稳增长</w:t>
      </w:r>
    </w:p>
    <w:p w14:paraId="464FF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1-6月，工业经济持续快速发展，全县9家规模以上工业企业实现工业增加值同比增长27.4%，高于全州平均增速（3%）24.4个百分点，增速居于全州第一。</w:t>
      </w:r>
    </w:p>
    <w:p w14:paraId="2A4FA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1-6月工业总产值29751.16万元，同比增长65.41%，工业增加值12180.01万元，同比增长27.4%。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9家规模以上工业企业生产情况总体稳定，工业增加值呈现“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降”。其中：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采矿业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实现工业总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产值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21739.4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144.61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%，实现工业增加值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8520.48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67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拉动规模以上工业增加值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增速29.37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个百分点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，采矿业“顶梁柱”效应依旧强劲；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制造业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实现工业总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产值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1814.55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增长2.57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%，实现增加值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372.89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增长13.47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拉动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规模以上工业增加值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增速0.63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个百分点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电力热力业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实现工业总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产值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6197.21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下降15.45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%，实现增加值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3286.64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万元，同比</w:t>
      </w:r>
      <w:r>
        <w:rPr>
          <w:rFonts w:hint="eastAsia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下降5.05</w:t>
      </w:r>
      <w:r>
        <w:rPr>
          <w:rFonts w:hint="default" w:ascii="Times New Roman" w:hAnsi="Times New Roman" w:eastAsia="方正仿宋_GBK" w:cs="Times New Roman"/>
          <w:sz w:val="31"/>
          <w:szCs w:val="31"/>
          <w:highlight w:val="none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下拉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规模以上工业增加值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增速2.6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个百分点。</w:t>
      </w:r>
    </w:p>
    <w:p w14:paraId="3B311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406400</wp:posOffset>
            </wp:positionH>
            <wp:positionV relativeFrom="paragraph">
              <wp:posOffset>32385</wp:posOffset>
            </wp:positionV>
            <wp:extent cx="4778375" cy="2629535"/>
            <wp:effectExtent l="0" t="0" r="3175" b="8890"/>
            <wp:wrapNone/>
            <wp:docPr id="8" name="图片 8" descr="7264e0c50214dc2d3752e13167bdd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264e0c50214dc2d3752e13167bddd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93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02BD37D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highlight w:val="none"/>
          <w:lang w:val="en-US" w:eastAsia="zh-CN"/>
        </w:rPr>
      </w:pPr>
    </w:p>
    <w:p w14:paraId="1CFF8AC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highlight w:val="none"/>
          <w:lang w:val="en-US" w:eastAsia="zh-CN"/>
        </w:rPr>
      </w:pPr>
    </w:p>
    <w:p w14:paraId="07925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7640E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4A4A6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567D9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2FC1F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固定资产投资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后劲不足</w:t>
      </w: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缺乏新建重点项目支撑</w:t>
      </w:r>
    </w:p>
    <w:p w14:paraId="46133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highlight w:val="none"/>
          <w:lang w:val="en-US" w:eastAsia="zh-CN"/>
        </w:rPr>
        <w:t>1-6月份，全县完成固定资产投资共计118745万元，同比增长9.86%。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全县共有在库项目72个（含房地产投资），其中：续建项目55个，完成固定资产投资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70399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万元，占全部固定资产投资的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59.3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%；当年新开工项目17个，完成固定资产投资48346万元，占全部固定资产投资的4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0.7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%；5000万元以上项目43个，完成固定资产投资100803万元，占全部固定资产投资85.8%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。</w:t>
      </w:r>
    </w:p>
    <w:p w14:paraId="01217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国有及国有控股完成投资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51676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73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.1%，占投资总额4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3.5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%，拉动固定资产投资增长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20.2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个百分点；社会投资完成67069万元，同比下降14.28%，占投资总额的57.1%，下拉固定资产投资增长10.3个百分点。基础设施完成投资34215万元，同比增长59.7%；水利、环境和公共设施管理业完成投资32753万元，同比增长233.9%</w:t>
      </w:r>
      <w:r>
        <w:rPr>
          <w:rFonts w:hint="eastAsia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民生投资完成投资1058万元，同比下降80.2%；房地产行业完成投资740万元，同比下降77.7%。</w:t>
      </w:r>
    </w:p>
    <w:p w14:paraId="08015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100965</wp:posOffset>
            </wp:positionV>
            <wp:extent cx="5268595" cy="2661285"/>
            <wp:effectExtent l="0" t="0" r="8255" b="571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0C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</w:p>
    <w:p w14:paraId="5266D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</w:p>
    <w:p w14:paraId="41D1B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</w:p>
    <w:p w14:paraId="27CF5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</w:p>
    <w:p w14:paraId="4A5B7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</w:p>
    <w:p w14:paraId="4B7DB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</w:p>
    <w:p w14:paraId="3095B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</w:p>
    <w:p w14:paraId="743FD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三、消费市场承压运行，增速不及预期，粮油食品类保持增长、石油制品类大幅下滑</w:t>
      </w:r>
    </w:p>
    <w:p w14:paraId="169F5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1-6月，且末县限额以上社会消费品零售额达15620.4万元，同比下降13.54%，逐月累加增速-12.82%。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按经营单位所在地分，乡村实现消费品零售额7666.5万元，同比下降13.37%；城镇实现消费品零售额7953.9万元，同比下降13.71%。按消费形态分，餐饮收入1067.3万元，同比下降19.98%；商品零售额14553.1万元，同比下降13.03%。</w:t>
      </w:r>
    </w:p>
    <w:p w14:paraId="6F85B8F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方正仿宋_GBK" w:cs="Times New Roman"/>
          <w:b/>
          <w:bCs w:val="0"/>
          <w:color w:val="000000"/>
          <w:sz w:val="32"/>
          <w:szCs w:val="32"/>
          <w:highlight w:val="none"/>
          <w:lang w:val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596900</wp:posOffset>
            </wp:positionH>
            <wp:positionV relativeFrom="paragraph">
              <wp:posOffset>106680</wp:posOffset>
            </wp:positionV>
            <wp:extent cx="4639310" cy="2783840"/>
            <wp:effectExtent l="4445" t="5080" r="33020" b="40005"/>
            <wp:wrapNone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57FD3B4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</w:p>
    <w:p w14:paraId="1F6CE8F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</w:p>
    <w:p w14:paraId="25AB10C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</w:p>
    <w:p w14:paraId="1919338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</w:p>
    <w:p w14:paraId="6B883FA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</w:p>
    <w:p w14:paraId="2DBC367C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</w:p>
    <w:p w14:paraId="526B033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</w:p>
    <w:p w14:paraId="1A203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四、建筑业总产值持续增长，矿山基建拉动有力</w:t>
      </w:r>
    </w:p>
    <w:p w14:paraId="5C7DD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pacing w:val="4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spacing w:val="4"/>
          <w:sz w:val="32"/>
          <w:szCs w:val="32"/>
          <w:highlight w:val="none"/>
          <w:lang w:val="en-US" w:eastAsia="zh-CN"/>
        </w:rPr>
        <w:t>1-6月，我县8家</w:t>
      </w:r>
      <w:r>
        <w:rPr>
          <w:rFonts w:hint="default" w:ascii="Times New Roman" w:hAnsi="Times New Roman" w:eastAsia="方正黑体_GBK" w:cs="Times New Roman"/>
          <w:b w:val="0"/>
          <w:bCs w:val="0"/>
          <w:spacing w:val="4"/>
          <w:sz w:val="32"/>
          <w:szCs w:val="32"/>
          <w:highlight w:val="none"/>
          <w:lang w:val="en-US" w:eastAsia="zh-CN"/>
        </w:rPr>
        <w:t>建筑业企业完成建筑业总产值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30462</w:t>
      </w:r>
      <w:r>
        <w:rPr>
          <w:rFonts w:hint="default" w:ascii="Times New Roman" w:hAnsi="Times New Roman" w:eastAsia="方正黑体_GBK" w:cs="Times New Roman"/>
          <w:b w:val="0"/>
          <w:bCs w:val="0"/>
          <w:spacing w:val="4"/>
          <w:sz w:val="32"/>
          <w:szCs w:val="32"/>
          <w:highlight w:val="none"/>
          <w:lang w:val="en-US" w:eastAsia="zh-CN"/>
        </w:rPr>
        <w:t>万元，同比增长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21.39</w:t>
      </w:r>
      <w:r>
        <w:rPr>
          <w:rFonts w:hint="default" w:ascii="Times New Roman" w:hAnsi="Times New Roman" w:eastAsia="方正黑体_GBK" w:cs="Times New Roman"/>
          <w:b w:val="0"/>
          <w:bCs w:val="0"/>
          <w:spacing w:val="4"/>
          <w:sz w:val="32"/>
          <w:szCs w:val="32"/>
          <w:highlight w:val="none"/>
          <w:lang w:val="en-US" w:eastAsia="zh-CN"/>
        </w:rPr>
        <w:t>%。</w:t>
      </w:r>
    </w:p>
    <w:p w14:paraId="1F7F4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Times New Roman" w:hAnsi="Times New Roman" w:eastAsia="方正仿宋_GBK" w:cs="Times New Roman"/>
          <w:color w:val="000000"/>
          <w:sz w:val="31"/>
          <w:szCs w:val="31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1"/>
          <w:szCs w:val="31"/>
          <w:highlight w:val="none"/>
          <w:lang w:val="en-US" w:eastAsia="zh-CN"/>
        </w:rPr>
        <w:t>1-6月矿山类建筑企业完成产值5215.1万元，同比增长2.8倍，拉动建筑业产值增速15.3个百分点；完成竣工产值6122.7万元，同比下降61.8%；签订合同总额102200.9万元，同比增长110.62%，其中本年新签合同额35954.4万元，同比增长23.3%；房屋建筑施工面积1.85万㎡，同比下降83.3%，其中新开工面积1200㎡，同比下降93.1%；直接从事生产经营活动的平均人数936人，同比下降26.6%。</w:t>
      </w:r>
    </w:p>
    <w:p w14:paraId="2D9F9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  <w:t>二季度我县疆外建筑企业共23家，1-6月在且末县完成建筑业产值为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54566.1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  <w:t>万元，同比增长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10.14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  <w:t>%。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其中：矿山类项目建筑企业7家完成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  <w:t>建筑业产值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13746.8万元，占全部建筑业产值的25.2%；水利水电类工程项目建筑企业4家完成建筑业产值26121万元，占全部建筑业产值的47.9%；基础设施项目建筑企业5家完成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  <w:t>建筑业产值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8989.5万元，占全部建筑业产值的16.5%。</w:t>
      </w:r>
    </w:p>
    <w:p w14:paraId="2C4C4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  <w:t>五、房地产市场持续低迷，住宅销量回落，商业用房支撑楼盘</w:t>
      </w:r>
    </w:p>
    <w:p w14:paraId="4E894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1-6月，商品房销售面积22210平方米，同比增长18.4%；商品房销售额8803万元，同比增长9.9%。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其中：住宅销售面积11812平方米，同比下降29.3%，销售额4044万元，同比下降30.4%；商业营业用房销售面积10328平方米，同比增长4.3倍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销售额4759万元，同比增长1.2倍。</w:t>
      </w:r>
    </w:p>
    <w:p w14:paraId="084C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六、规模以上营利性</w:t>
      </w: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zh-CN" w:eastAsia="zh-CN" w:bidi="ar-SA"/>
        </w:rPr>
        <w:t>服务业企业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营业收入</w:t>
      </w: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zh-CN" w:eastAsia="zh-CN" w:bidi="ar-SA"/>
        </w:rPr>
        <w:t>持续增长</w:t>
      </w:r>
    </w:p>
    <w:p w14:paraId="7C7F3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1-5月（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错月统计）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我县3家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参与核算的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zh-CN" w:eastAsia="zh-CN"/>
        </w:rPr>
        <w:t>规模以上服务业企业实现营业收入5126.3万元，同比增长41.78%。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  <w:t>分行业看，租赁和商务服务业实现营业收入3961.1万元，同比增长9.61%。水利环境和公共设施管理业实现营业收入1165.2万元。</w:t>
      </w:r>
    </w:p>
    <w:p w14:paraId="5F8AB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zh-CN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66040</wp:posOffset>
            </wp:positionV>
            <wp:extent cx="5162550" cy="2741930"/>
            <wp:effectExtent l="4445" t="4445" r="5080" b="6350"/>
            <wp:wrapNone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74C22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</w:pPr>
    </w:p>
    <w:p w14:paraId="405E4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</w:pPr>
    </w:p>
    <w:p w14:paraId="6CBCA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</w:pPr>
    </w:p>
    <w:p w14:paraId="61BE9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</w:pPr>
    </w:p>
    <w:p w14:paraId="6423F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</w:pPr>
    </w:p>
    <w:p w14:paraId="22373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zh-CN" w:eastAsia="zh-CN"/>
        </w:rPr>
      </w:pPr>
    </w:p>
    <w:p w14:paraId="6EE30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p w14:paraId="50A60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七、非营利性服务业（机关事业单位</w:t>
      </w:r>
      <w:r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从业人员工资总额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）趋于平稳</w:t>
      </w:r>
    </w:p>
    <w:p w14:paraId="38930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上半年我县机关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事业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单位从业人员工资总额达到40396.9万元，同比增长3.07%。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其中：（1）水利、环境和公共设施管理行业工资总额同比增长2倍；（2）教育行业工资总额同比下降2.87%；（3）卫生和社会工作行业工资总额同比下降5.08%；（4）公共管理、社会保障和社会组织行业工资总额同比增长3.26%；（5）文化、体育和娱乐业工资总额同比增长14.41%；（6）科学研究和技术服务业工资总额同比增长5.22%。</w:t>
      </w:r>
    </w:p>
    <w:sectPr>
      <w:footerReference r:id="rId3" w:type="default"/>
      <w:pgSz w:w="11906" w:h="16838"/>
      <w:pgMar w:top="1871" w:right="1531" w:bottom="1984" w:left="1531" w:header="964" w:footer="164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1924C8D-CCDD-410E-A2F1-9CE539FE65C6}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ECB2876-77C2-4351-A6E8-58EE4B26C68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7D897CB-660A-482F-83C7-852375F0F2F3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CEF9C40-2430-40D6-868F-73520EBAE30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9219B2D-D30D-4A87-BB53-ED127C2292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E7E1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CCB3A0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CCB3A0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OTU5YmI2ZjM1MjlmZDE0MTAwMDY4ODJmYzAxMjAifQ=="/>
  </w:docVars>
  <w:rsids>
    <w:rsidRoot w:val="00172A27"/>
    <w:rsid w:val="00060451"/>
    <w:rsid w:val="00072C34"/>
    <w:rsid w:val="0037139E"/>
    <w:rsid w:val="00411CA3"/>
    <w:rsid w:val="008B46CE"/>
    <w:rsid w:val="00CE3D6F"/>
    <w:rsid w:val="016659C7"/>
    <w:rsid w:val="02702D13"/>
    <w:rsid w:val="02B70FDC"/>
    <w:rsid w:val="02B72EE7"/>
    <w:rsid w:val="02C112E0"/>
    <w:rsid w:val="02E60B96"/>
    <w:rsid w:val="03156361"/>
    <w:rsid w:val="03240419"/>
    <w:rsid w:val="03433A17"/>
    <w:rsid w:val="03433F84"/>
    <w:rsid w:val="04021749"/>
    <w:rsid w:val="04463D2B"/>
    <w:rsid w:val="04AD035A"/>
    <w:rsid w:val="04B65E78"/>
    <w:rsid w:val="04C106C5"/>
    <w:rsid w:val="04D05CEB"/>
    <w:rsid w:val="04E944C8"/>
    <w:rsid w:val="050236C0"/>
    <w:rsid w:val="0580693D"/>
    <w:rsid w:val="06514C09"/>
    <w:rsid w:val="066159B7"/>
    <w:rsid w:val="078D3E12"/>
    <w:rsid w:val="07B76CEE"/>
    <w:rsid w:val="07C15D77"/>
    <w:rsid w:val="07CE6CCF"/>
    <w:rsid w:val="084F2C83"/>
    <w:rsid w:val="08A829B9"/>
    <w:rsid w:val="08D00067"/>
    <w:rsid w:val="08D51B22"/>
    <w:rsid w:val="098F1D99"/>
    <w:rsid w:val="099341D5"/>
    <w:rsid w:val="099512B1"/>
    <w:rsid w:val="09BA6059"/>
    <w:rsid w:val="09BD0D3B"/>
    <w:rsid w:val="0A12296E"/>
    <w:rsid w:val="0A1D214F"/>
    <w:rsid w:val="0AAF7B29"/>
    <w:rsid w:val="0AEF054D"/>
    <w:rsid w:val="0B7854E5"/>
    <w:rsid w:val="0B907F82"/>
    <w:rsid w:val="0BAD47AA"/>
    <w:rsid w:val="0BD639B6"/>
    <w:rsid w:val="0BE476BD"/>
    <w:rsid w:val="0C917B0E"/>
    <w:rsid w:val="0CC47097"/>
    <w:rsid w:val="0CEE378C"/>
    <w:rsid w:val="0D2C0B00"/>
    <w:rsid w:val="0D367553"/>
    <w:rsid w:val="0D3D5EE8"/>
    <w:rsid w:val="0D7A7893"/>
    <w:rsid w:val="0D7F2EA0"/>
    <w:rsid w:val="0E15336D"/>
    <w:rsid w:val="0E156E33"/>
    <w:rsid w:val="0E2F0209"/>
    <w:rsid w:val="0E776941"/>
    <w:rsid w:val="0E8206A9"/>
    <w:rsid w:val="0F04402B"/>
    <w:rsid w:val="0F620613"/>
    <w:rsid w:val="0FC14BAE"/>
    <w:rsid w:val="0FD0333C"/>
    <w:rsid w:val="102F390A"/>
    <w:rsid w:val="10301D50"/>
    <w:rsid w:val="104B550B"/>
    <w:rsid w:val="105A45C0"/>
    <w:rsid w:val="107B2FAF"/>
    <w:rsid w:val="10EB4B53"/>
    <w:rsid w:val="10EF3C94"/>
    <w:rsid w:val="10F448E4"/>
    <w:rsid w:val="112A22DF"/>
    <w:rsid w:val="113B44EC"/>
    <w:rsid w:val="114C4FA4"/>
    <w:rsid w:val="116708EC"/>
    <w:rsid w:val="11836CA0"/>
    <w:rsid w:val="11D87F8D"/>
    <w:rsid w:val="11F03288"/>
    <w:rsid w:val="128A2E24"/>
    <w:rsid w:val="12A45295"/>
    <w:rsid w:val="12EB5FC0"/>
    <w:rsid w:val="12ED7FDC"/>
    <w:rsid w:val="12F40DF6"/>
    <w:rsid w:val="1389623B"/>
    <w:rsid w:val="139F2CF2"/>
    <w:rsid w:val="13BB79E5"/>
    <w:rsid w:val="14271F29"/>
    <w:rsid w:val="14672770"/>
    <w:rsid w:val="14772501"/>
    <w:rsid w:val="149F45A3"/>
    <w:rsid w:val="14A3275E"/>
    <w:rsid w:val="14A51E82"/>
    <w:rsid w:val="14C25CF8"/>
    <w:rsid w:val="14D86C8B"/>
    <w:rsid w:val="14F75A35"/>
    <w:rsid w:val="14FB46BE"/>
    <w:rsid w:val="152E1F21"/>
    <w:rsid w:val="155E4818"/>
    <w:rsid w:val="15A269E8"/>
    <w:rsid w:val="15AA78C2"/>
    <w:rsid w:val="15FF27A9"/>
    <w:rsid w:val="161E08D2"/>
    <w:rsid w:val="16582EAF"/>
    <w:rsid w:val="1715758D"/>
    <w:rsid w:val="173531E8"/>
    <w:rsid w:val="17885EE9"/>
    <w:rsid w:val="17917406"/>
    <w:rsid w:val="179F5F3D"/>
    <w:rsid w:val="17CE6084"/>
    <w:rsid w:val="17FC3924"/>
    <w:rsid w:val="17FD2345"/>
    <w:rsid w:val="181A6283"/>
    <w:rsid w:val="182301FD"/>
    <w:rsid w:val="18287F5D"/>
    <w:rsid w:val="18296028"/>
    <w:rsid w:val="183879D7"/>
    <w:rsid w:val="187464CE"/>
    <w:rsid w:val="187F1162"/>
    <w:rsid w:val="18A92592"/>
    <w:rsid w:val="18F46799"/>
    <w:rsid w:val="192561AE"/>
    <w:rsid w:val="194F56D7"/>
    <w:rsid w:val="19831126"/>
    <w:rsid w:val="19B7593E"/>
    <w:rsid w:val="19E716B5"/>
    <w:rsid w:val="1A8B7EC1"/>
    <w:rsid w:val="1AD25204"/>
    <w:rsid w:val="1B3F5BD7"/>
    <w:rsid w:val="1B4D19EC"/>
    <w:rsid w:val="1B5508A0"/>
    <w:rsid w:val="1B5F566A"/>
    <w:rsid w:val="1BFB1C99"/>
    <w:rsid w:val="1C4E1577"/>
    <w:rsid w:val="1C6963B1"/>
    <w:rsid w:val="1C9F1954"/>
    <w:rsid w:val="1CB56597"/>
    <w:rsid w:val="1CF24432"/>
    <w:rsid w:val="1D130CF8"/>
    <w:rsid w:val="1D134117"/>
    <w:rsid w:val="1D183933"/>
    <w:rsid w:val="1D6B5810"/>
    <w:rsid w:val="1DE32B7E"/>
    <w:rsid w:val="1DFC57B5"/>
    <w:rsid w:val="1E355C35"/>
    <w:rsid w:val="1E5E566E"/>
    <w:rsid w:val="1EB37DB8"/>
    <w:rsid w:val="1F0011BD"/>
    <w:rsid w:val="1F010B23"/>
    <w:rsid w:val="1F114C40"/>
    <w:rsid w:val="1F3A4035"/>
    <w:rsid w:val="1F5A6CC9"/>
    <w:rsid w:val="1FC71FED"/>
    <w:rsid w:val="1FE04BDC"/>
    <w:rsid w:val="20004E95"/>
    <w:rsid w:val="2013100D"/>
    <w:rsid w:val="2025051D"/>
    <w:rsid w:val="20586E69"/>
    <w:rsid w:val="207C0C57"/>
    <w:rsid w:val="20C91105"/>
    <w:rsid w:val="20DA055A"/>
    <w:rsid w:val="20E13606"/>
    <w:rsid w:val="21987B21"/>
    <w:rsid w:val="21A70E25"/>
    <w:rsid w:val="21AF1528"/>
    <w:rsid w:val="21D342CD"/>
    <w:rsid w:val="21D73DBD"/>
    <w:rsid w:val="220646C7"/>
    <w:rsid w:val="22210A84"/>
    <w:rsid w:val="22286D9D"/>
    <w:rsid w:val="22353CA2"/>
    <w:rsid w:val="225115DF"/>
    <w:rsid w:val="22511DC1"/>
    <w:rsid w:val="226510F4"/>
    <w:rsid w:val="22825C94"/>
    <w:rsid w:val="2305495A"/>
    <w:rsid w:val="235B27CC"/>
    <w:rsid w:val="238364A2"/>
    <w:rsid w:val="24F07562"/>
    <w:rsid w:val="252D1BF3"/>
    <w:rsid w:val="25845DE1"/>
    <w:rsid w:val="25B95BE8"/>
    <w:rsid w:val="25CA1BFE"/>
    <w:rsid w:val="26616D15"/>
    <w:rsid w:val="26B47EB1"/>
    <w:rsid w:val="26E36D60"/>
    <w:rsid w:val="27090EBD"/>
    <w:rsid w:val="27CB6024"/>
    <w:rsid w:val="27F21951"/>
    <w:rsid w:val="27F82CDF"/>
    <w:rsid w:val="28515736"/>
    <w:rsid w:val="28810F26"/>
    <w:rsid w:val="289A5B44"/>
    <w:rsid w:val="28A15125"/>
    <w:rsid w:val="28BC18CA"/>
    <w:rsid w:val="28E20750"/>
    <w:rsid w:val="29BB70E6"/>
    <w:rsid w:val="29CE019B"/>
    <w:rsid w:val="29E044CB"/>
    <w:rsid w:val="29E43C80"/>
    <w:rsid w:val="2A2139D9"/>
    <w:rsid w:val="2AA76DCD"/>
    <w:rsid w:val="2ACA07D1"/>
    <w:rsid w:val="2AE028A4"/>
    <w:rsid w:val="2B2D3A0D"/>
    <w:rsid w:val="2B4F2C12"/>
    <w:rsid w:val="2B714984"/>
    <w:rsid w:val="2B876854"/>
    <w:rsid w:val="2BC4400E"/>
    <w:rsid w:val="2BCF1932"/>
    <w:rsid w:val="2BDB045A"/>
    <w:rsid w:val="2C1B6D7C"/>
    <w:rsid w:val="2C4D1BB1"/>
    <w:rsid w:val="2C505717"/>
    <w:rsid w:val="2C631125"/>
    <w:rsid w:val="2CA331F7"/>
    <w:rsid w:val="2CB22C64"/>
    <w:rsid w:val="2CBF5B79"/>
    <w:rsid w:val="2CDA5544"/>
    <w:rsid w:val="2CDE6947"/>
    <w:rsid w:val="2D0427E1"/>
    <w:rsid w:val="2D407704"/>
    <w:rsid w:val="2D5B7C6B"/>
    <w:rsid w:val="2D633379"/>
    <w:rsid w:val="2D716C5A"/>
    <w:rsid w:val="2D8044FB"/>
    <w:rsid w:val="2DA97565"/>
    <w:rsid w:val="2EA37025"/>
    <w:rsid w:val="2EAA622E"/>
    <w:rsid w:val="2EAB5ACC"/>
    <w:rsid w:val="2EB7253E"/>
    <w:rsid w:val="2EBF7486"/>
    <w:rsid w:val="2EC27995"/>
    <w:rsid w:val="2ED60ADF"/>
    <w:rsid w:val="2EFE507F"/>
    <w:rsid w:val="2F0E4A59"/>
    <w:rsid w:val="2F66049B"/>
    <w:rsid w:val="2F7075FF"/>
    <w:rsid w:val="2F794822"/>
    <w:rsid w:val="2FE1747D"/>
    <w:rsid w:val="303537B9"/>
    <w:rsid w:val="30527973"/>
    <w:rsid w:val="305F1B4D"/>
    <w:rsid w:val="30C2070F"/>
    <w:rsid w:val="30D64D73"/>
    <w:rsid w:val="31325C6C"/>
    <w:rsid w:val="313666CD"/>
    <w:rsid w:val="31523319"/>
    <w:rsid w:val="316948AB"/>
    <w:rsid w:val="317D3526"/>
    <w:rsid w:val="31B47C77"/>
    <w:rsid w:val="31C57EC0"/>
    <w:rsid w:val="31FD436E"/>
    <w:rsid w:val="32002EBC"/>
    <w:rsid w:val="32063AEB"/>
    <w:rsid w:val="320F389C"/>
    <w:rsid w:val="327E0416"/>
    <w:rsid w:val="3293734D"/>
    <w:rsid w:val="32C51BB4"/>
    <w:rsid w:val="32C739DA"/>
    <w:rsid w:val="33393BB3"/>
    <w:rsid w:val="33596D28"/>
    <w:rsid w:val="33811DDB"/>
    <w:rsid w:val="33CD151A"/>
    <w:rsid w:val="33DF485F"/>
    <w:rsid w:val="341E587B"/>
    <w:rsid w:val="344A041F"/>
    <w:rsid w:val="345D2848"/>
    <w:rsid w:val="3472458C"/>
    <w:rsid w:val="34825B25"/>
    <w:rsid w:val="34913985"/>
    <w:rsid w:val="35C51B45"/>
    <w:rsid w:val="35EF533C"/>
    <w:rsid w:val="36A4475E"/>
    <w:rsid w:val="36EC01F7"/>
    <w:rsid w:val="37123A3C"/>
    <w:rsid w:val="37931D49"/>
    <w:rsid w:val="382D42DF"/>
    <w:rsid w:val="384D09FA"/>
    <w:rsid w:val="38575800"/>
    <w:rsid w:val="39091A12"/>
    <w:rsid w:val="392456E2"/>
    <w:rsid w:val="39487663"/>
    <w:rsid w:val="394E5F91"/>
    <w:rsid w:val="395159D8"/>
    <w:rsid w:val="395F24AA"/>
    <w:rsid w:val="397A5969"/>
    <w:rsid w:val="39912038"/>
    <w:rsid w:val="39A7421E"/>
    <w:rsid w:val="39AF66C5"/>
    <w:rsid w:val="3A016AD6"/>
    <w:rsid w:val="3A190EC3"/>
    <w:rsid w:val="3A6D4338"/>
    <w:rsid w:val="3A9C574C"/>
    <w:rsid w:val="3ADC23D9"/>
    <w:rsid w:val="3B0E5158"/>
    <w:rsid w:val="3B19017C"/>
    <w:rsid w:val="3B1C4E81"/>
    <w:rsid w:val="3B710987"/>
    <w:rsid w:val="3B754C6C"/>
    <w:rsid w:val="3B7D19BD"/>
    <w:rsid w:val="3B8F69D8"/>
    <w:rsid w:val="3BD15712"/>
    <w:rsid w:val="3BDF3B42"/>
    <w:rsid w:val="3BDF6893"/>
    <w:rsid w:val="3C4E692F"/>
    <w:rsid w:val="3C5067EE"/>
    <w:rsid w:val="3C5B7A92"/>
    <w:rsid w:val="3C737104"/>
    <w:rsid w:val="3C7C7479"/>
    <w:rsid w:val="3CAD5FC6"/>
    <w:rsid w:val="3CF47AC1"/>
    <w:rsid w:val="3D015F6A"/>
    <w:rsid w:val="3D3C58FB"/>
    <w:rsid w:val="3D4E2F4E"/>
    <w:rsid w:val="3D92565F"/>
    <w:rsid w:val="3D9B24D7"/>
    <w:rsid w:val="3DA31179"/>
    <w:rsid w:val="3DB96537"/>
    <w:rsid w:val="3E15646F"/>
    <w:rsid w:val="3E16023C"/>
    <w:rsid w:val="3E483C21"/>
    <w:rsid w:val="3E5C5F51"/>
    <w:rsid w:val="3E756419"/>
    <w:rsid w:val="3E7D4875"/>
    <w:rsid w:val="3EE75BFC"/>
    <w:rsid w:val="3F1A54FE"/>
    <w:rsid w:val="3F281CA4"/>
    <w:rsid w:val="3F397A0D"/>
    <w:rsid w:val="3F597E30"/>
    <w:rsid w:val="3F8844F1"/>
    <w:rsid w:val="4004084C"/>
    <w:rsid w:val="40267F92"/>
    <w:rsid w:val="402D6370"/>
    <w:rsid w:val="404603E4"/>
    <w:rsid w:val="40AD5238"/>
    <w:rsid w:val="40B82B35"/>
    <w:rsid w:val="40BE01CA"/>
    <w:rsid w:val="40FF70E4"/>
    <w:rsid w:val="41036525"/>
    <w:rsid w:val="41086DE9"/>
    <w:rsid w:val="412A0663"/>
    <w:rsid w:val="41322966"/>
    <w:rsid w:val="413C0CC2"/>
    <w:rsid w:val="413F7C3E"/>
    <w:rsid w:val="41732B43"/>
    <w:rsid w:val="418B1B16"/>
    <w:rsid w:val="41D906F8"/>
    <w:rsid w:val="425702C0"/>
    <w:rsid w:val="4293689C"/>
    <w:rsid w:val="42B47D79"/>
    <w:rsid w:val="42CA554C"/>
    <w:rsid w:val="42EF2D8C"/>
    <w:rsid w:val="42F61881"/>
    <w:rsid w:val="43103677"/>
    <w:rsid w:val="4326177F"/>
    <w:rsid w:val="43670FED"/>
    <w:rsid w:val="4380345A"/>
    <w:rsid w:val="43BF4471"/>
    <w:rsid w:val="43F64A96"/>
    <w:rsid w:val="443469F5"/>
    <w:rsid w:val="444B1319"/>
    <w:rsid w:val="445C09D8"/>
    <w:rsid w:val="446E4155"/>
    <w:rsid w:val="44A4568A"/>
    <w:rsid w:val="44B042E0"/>
    <w:rsid w:val="44B11D22"/>
    <w:rsid w:val="44CC1244"/>
    <w:rsid w:val="44E746FA"/>
    <w:rsid w:val="451A3EA3"/>
    <w:rsid w:val="45592BB7"/>
    <w:rsid w:val="456064BF"/>
    <w:rsid w:val="45DF28ED"/>
    <w:rsid w:val="46111FE3"/>
    <w:rsid w:val="46171F00"/>
    <w:rsid w:val="46276C15"/>
    <w:rsid w:val="46472FAC"/>
    <w:rsid w:val="46482044"/>
    <w:rsid w:val="469071E7"/>
    <w:rsid w:val="46BB6781"/>
    <w:rsid w:val="47153338"/>
    <w:rsid w:val="471E706D"/>
    <w:rsid w:val="47212EE3"/>
    <w:rsid w:val="473016F6"/>
    <w:rsid w:val="47315AA1"/>
    <w:rsid w:val="474B29D4"/>
    <w:rsid w:val="476227E3"/>
    <w:rsid w:val="4779309D"/>
    <w:rsid w:val="47A46D33"/>
    <w:rsid w:val="47EC7FED"/>
    <w:rsid w:val="481B44EE"/>
    <w:rsid w:val="48326017"/>
    <w:rsid w:val="48730394"/>
    <w:rsid w:val="48955AF3"/>
    <w:rsid w:val="48AA54D8"/>
    <w:rsid w:val="48AE7858"/>
    <w:rsid w:val="48B75E2E"/>
    <w:rsid w:val="48BE43C4"/>
    <w:rsid w:val="48FC5DC9"/>
    <w:rsid w:val="49366D6C"/>
    <w:rsid w:val="49434B5A"/>
    <w:rsid w:val="49522CF4"/>
    <w:rsid w:val="496D3ECD"/>
    <w:rsid w:val="49861B09"/>
    <w:rsid w:val="49AE4282"/>
    <w:rsid w:val="49CC7D3D"/>
    <w:rsid w:val="4A1470AD"/>
    <w:rsid w:val="4A1A3F8F"/>
    <w:rsid w:val="4A5D4EF8"/>
    <w:rsid w:val="4AB42320"/>
    <w:rsid w:val="4B3C46F6"/>
    <w:rsid w:val="4B4B66E1"/>
    <w:rsid w:val="4B8833B1"/>
    <w:rsid w:val="4B9E1324"/>
    <w:rsid w:val="4C20614A"/>
    <w:rsid w:val="4C3F0C57"/>
    <w:rsid w:val="4C40066C"/>
    <w:rsid w:val="4C425DEF"/>
    <w:rsid w:val="4C800A2A"/>
    <w:rsid w:val="4CAB07AC"/>
    <w:rsid w:val="4CAE48F7"/>
    <w:rsid w:val="4D1625FD"/>
    <w:rsid w:val="4D2C295F"/>
    <w:rsid w:val="4D5F7B5E"/>
    <w:rsid w:val="4D64034B"/>
    <w:rsid w:val="4D7E2358"/>
    <w:rsid w:val="4D805848"/>
    <w:rsid w:val="4D890018"/>
    <w:rsid w:val="4D8B3F30"/>
    <w:rsid w:val="4D93717B"/>
    <w:rsid w:val="4DB27309"/>
    <w:rsid w:val="4DF15A26"/>
    <w:rsid w:val="4E0678C9"/>
    <w:rsid w:val="4E330759"/>
    <w:rsid w:val="4E7F22FD"/>
    <w:rsid w:val="4F8D3529"/>
    <w:rsid w:val="4F9C0C64"/>
    <w:rsid w:val="4FA17AE3"/>
    <w:rsid w:val="4FA868F3"/>
    <w:rsid w:val="4FC00C69"/>
    <w:rsid w:val="501403D1"/>
    <w:rsid w:val="50AA781A"/>
    <w:rsid w:val="50C61B92"/>
    <w:rsid w:val="50DD07F3"/>
    <w:rsid w:val="50EC33D0"/>
    <w:rsid w:val="50F66301"/>
    <w:rsid w:val="510C4A63"/>
    <w:rsid w:val="511B3417"/>
    <w:rsid w:val="51505F79"/>
    <w:rsid w:val="518252FC"/>
    <w:rsid w:val="519434E5"/>
    <w:rsid w:val="51962097"/>
    <w:rsid w:val="5221680B"/>
    <w:rsid w:val="523C48AB"/>
    <w:rsid w:val="5261587E"/>
    <w:rsid w:val="529B7644"/>
    <w:rsid w:val="52F242C5"/>
    <w:rsid w:val="52F5550F"/>
    <w:rsid w:val="52FD7DEB"/>
    <w:rsid w:val="530F12F8"/>
    <w:rsid w:val="531B5728"/>
    <w:rsid w:val="53226799"/>
    <w:rsid w:val="532F31A9"/>
    <w:rsid w:val="53670B95"/>
    <w:rsid w:val="5382152B"/>
    <w:rsid w:val="53A52E6B"/>
    <w:rsid w:val="53C31088"/>
    <w:rsid w:val="53E64764"/>
    <w:rsid w:val="54293818"/>
    <w:rsid w:val="54931516"/>
    <w:rsid w:val="557B26D6"/>
    <w:rsid w:val="559B2D78"/>
    <w:rsid w:val="55FD1675"/>
    <w:rsid w:val="55FF7526"/>
    <w:rsid w:val="56160149"/>
    <w:rsid w:val="562124DD"/>
    <w:rsid w:val="568A7075"/>
    <w:rsid w:val="56AE2637"/>
    <w:rsid w:val="56C6293D"/>
    <w:rsid w:val="57374043"/>
    <w:rsid w:val="57481E75"/>
    <w:rsid w:val="5752790C"/>
    <w:rsid w:val="578B3A48"/>
    <w:rsid w:val="57A447BF"/>
    <w:rsid w:val="57C340FA"/>
    <w:rsid w:val="580B5C3E"/>
    <w:rsid w:val="586D09FC"/>
    <w:rsid w:val="589F0E88"/>
    <w:rsid w:val="58ED5A11"/>
    <w:rsid w:val="59223A13"/>
    <w:rsid w:val="59383D0E"/>
    <w:rsid w:val="594D7E7D"/>
    <w:rsid w:val="59CC3500"/>
    <w:rsid w:val="5A1756C2"/>
    <w:rsid w:val="5A1F3F15"/>
    <w:rsid w:val="5A24333C"/>
    <w:rsid w:val="5A28671A"/>
    <w:rsid w:val="5A9A53AC"/>
    <w:rsid w:val="5AA4447D"/>
    <w:rsid w:val="5AAB5D4C"/>
    <w:rsid w:val="5AEA4E22"/>
    <w:rsid w:val="5AF9237C"/>
    <w:rsid w:val="5AFC61EC"/>
    <w:rsid w:val="5AFF11B3"/>
    <w:rsid w:val="5B0A0784"/>
    <w:rsid w:val="5B0B44FC"/>
    <w:rsid w:val="5B3613BD"/>
    <w:rsid w:val="5B560BDB"/>
    <w:rsid w:val="5B7A5F3B"/>
    <w:rsid w:val="5B7C15AD"/>
    <w:rsid w:val="5B882452"/>
    <w:rsid w:val="5C211430"/>
    <w:rsid w:val="5C272CE6"/>
    <w:rsid w:val="5C5060E9"/>
    <w:rsid w:val="5D0D6309"/>
    <w:rsid w:val="5D2075FD"/>
    <w:rsid w:val="5D2A0282"/>
    <w:rsid w:val="5D597C9F"/>
    <w:rsid w:val="5D61492A"/>
    <w:rsid w:val="5DD92690"/>
    <w:rsid w:val="5DDD2180"/>
    <w:rsid w:val="5DED1994"/>
    <w:rsid w:val="5DF03535"/>
    <w:rsid w:val="5E086AD1"/>
    <w:rsid w:val="5E303904"/>
    <w:rsid w:val="5E3839F7"/>
    <w:rsid w:val="5E3E7AAD"/>
    <w:rsid w:val="5E4B6EA0"/>
    <w:rsid w:val="5EF62DCD"/>
    <w:rsid w:val="5EFD036E"/>
    <w:rsid w:val="5F0456EE"/>
    <w:rsid w:val="5F35137F"/>
    <w:rsid w:val="5F5E5895"/>
    <w:rsid w:val="5F970700"/>
    <w:rsid w:val="5FBF7A85"/>
    <w:rsid w:val="60144BDF"/>
    <w:rsid w:val="603C6C9A"/>
    <w:rsid w:val="606F090F"/>
    <w:rsid w:val="60F22DAB"/>
    <w:rsid w:val="613A3445"/>
    <w:rsid w:val="615A3AE7"/>
    <w:rsid w:val="617F09DB"/>
    <w:rsid w:val="6196103D"/>
    <w:rsid w:val="61B307D6"/>
    <w:rsid w:val="61D92606"/>
    <w:rsid w:val="61F061FA"/>
    <w:rsid w:val="61F53EFC"/>
    <w:rsid w:val="620D380C"/>
    <w:rsid w:val="62223FB8"/>
    <w:rsid w:val="626B762E"/>
    <w:rsid w:val="62760AAF"/>
    <w:rsid w:val="62A146EF"/>
    <w:rsid w:val="62A920CA"/>
    <w:rsid w:val="62CE7B37"/>
    <w:rsid w:val="632C143E"/>
    <w:rsid w:val="635C1154"/>
    <w:rsid w:val="637A2CC6"/>
    <w:rsid w:val="63885C96"/>
    <w:rsid w:val="640A1EC8"/>
    <w:rsid w:val="64340620"/>
    <w:rsid w:val="64357B73"/>
    <w:rsid w:val="64397EC6"/>
    <w:rsid w:val="644F46F2"/>
    <w:rsid w:val="647D0DFF"/>
    <w:rsid w:val="64AC71E5"/>
    <w:rsid w:val="64BD4390"/>
    <w:rsid w:val="65114341"/>
    <w:rsid w:val="651C1CAB"/>
    <w:rsid w:val="652F3E8C"/>
    <w:rsid w:val="65367FB6"/>
    <w:rsid w:val="657C257E"/>
    <w:rsid w:val="65D16C26"/>
    <w:rsid w:val="6662056E"/>
    <w:rsid w:val="6679486D"/>
    <w:rsid w:val="6687103F"/>
    <w:rsid w:val="66B1403C"/>
    <w:rsid w:val="6707201B"/>
    <w:rsid w:val="67236729"/>
    <w:rsid w:val="67534BF7"/>
    <w:rsid w:val="67EC1211"/>
    <w:rsid w:val="68024591"/>
    <w:rsid w:val="68246BFD"/>
    <w:rsid w:val="6884144A"/>
    <w:rsid w:val="688E31C8"/>
    <w:rsid w:val="68915AA7"/>
    <w:rsid w:val="68B379C3"/>
    <w:rsid w:val="68B7137A"/>
    <w:rsid w:val="68C94977"/>
    <w:rsid w:val="68EA3C6B"/>
    <w:rsid w:val="68F22857"/>
    <w:rsid w:val="692A7F0B"/>
    <w:rsid w:val="6937349F"/>
    <w:rsid w:val="694E3F32"/>
    <w:rsid w:val="695A5192"/>
    <w:rsid w:val="699D3B6E"/>
    <w:rsid w:val="69E87A77"/>
    <w:rsid w:val="6A7B2385"/>
    <w:rsid w:val="6AD40FE2"/>
    <w:rsid w:val="6B03352E"/>
    <w:rsid w:val="6B5D74E8"/>
    <w:rsid w:val="6B99178A"/>
    <w:rsid w:val="6BB4671D"/>
    <w:rsid w:val="6C2E49F9"/>
    <w:rsid w:val="6C627CF4"/>
    <w:rsid w:val="6C8707DB"/>
    <w:rsid w:val="6CBF0CA2"/>
    <w:rsid w:val="6D062D75"/>
    <w:rsid w:val="6D1A3EB9"/>
    <w:rsid w:val="6D844AAC"/>
    <w:rsid w:val="6D8E1D25"/>
    <w:rsid w:val="6DBB590E"/>
    <w:rsid w:val="6DC442EB"/>
    <w:rsid w:val="6DFA4F73"/>
    <w:rsid w:val="6DFC528F"/>
    <w:rsid w:val="6E341A62"/>
    <w:rsid w:val="6E661F86"/>
    <w:rsid w:val="6E846E84"/>
    <w:rsid w:val="6E92178E"/>
    <w:rsid w:val="6E9B7FEF"/>
    <w:rsid w:val="6F161E3C"/>
    <w:rsid w:val="6F402D05"/>
    <w:rsid w:val="6F887A72"/>
    <w:rsid w:val="6FF27A76"/>
    <w:rsid w:val="702212D5"/>
    <w:rsid w:val="70DD3453"/>
    <w:rsid w:val="711F61B4"/>
    <w:rsid w:val="714C5443"/>
    <w:rsid w:val="715711B3"/>
    <w:rsid w:val="71573B9F"/>
    <w:rsid w:val="71A2244A"/>
    <w:rsid w:val="71B15113"/>
    <w:rsid w:val="725D6F93"/>
    <w:rsid w:val="727247AE"/>
    <w:rsid w:val="72805649"/>
    <w:rsid w:val="728267E5"/>
    <w:rsid w:val="7294522D"/>
    <w:rsid w:val="72D17864"/>
    <w:rsid w:val="72FF4B30"/>
    <w:rsid w:val="73013DC3"/>
    <w:rsid w:val="73F83B6F"/>
    <w:rsid w:val="73FF0238"/>
    <w:rsid w:val="74231EDF"/>
    <w:rsid w:val="747856B0"/>
    <w:rsid w:val="747F7445"/>
    <w:rsid w:val="74E16458"/>
    <w:rsid w:val="74F86478"/>
    <w:rsid w:val="751C7370"/>
    <w:rsid w:val="752503B1"/>
    <w:rsid w:val="752A7AF7"/>
    <w:rsid w:val="756039BC"/>
    <w:rsid w:val="756939D2"/>
    <w:rsid w:val="756D573F"/>
    <w:rsid w:val="75774810"/>
    <w:rsid w:val="75803B15"/>
    <w:rsid w:val="758409EC"/>
    <w:rsid w:val="75A30FF5"/>
    <w:rsid w:val="75BD52CA"/>
    <w:rsid w:val="75F60453"/>
    <w:rsid w:val="760139CC"/>
    <w:rsid w:val="761545B8"/>
    <w:rsid w:val="763B08B8"/>
    <w:rsid w:val="765D4231"/>
    <w:rsid w:val="7673047D"/>
    <w:rsid w:val="767C00B0"/>
    <w:rsid w:val="76AC58EF"/>
    <w:rsid w:val="76FE2E43"/>
    <w:rsid w:val="77435587"/>
    <w:rsid w:val="77C26FBB"/>
    <w:rsid w:val="77E12415"/>
    <w:rsid w:val="77F4039A"/>
    <w:rsid w:val="781628F3"/>
    <w:rsid w:val="782352E3"/>
    <w:rsid w:val="78462278"/>
    <w:rsid w:val="78956F6C"/>
    <w:rsid w:val="78AF5AD7"/>
    <w:rsid w:val="78BA3CBB"/>
    <w:rsid w:val="78BF52A3"/>
    <w:rsid w:val="78C25DA2"/>
    <w:rsid w:val="78D63422"/>
    <w:rsid w:val="790D4AC5"/>
    <w:rsid w:val="79414A18"/>
    <w:rsid w:val="794964C4"/>
    <w:rsid w:val="79635FAD"/>
    <w:rsid w:val="79667075"/>
    <w:rsid w:val="79736387"/>
    <w:rsid w:val="79AE27CB"/>
    <w:rsid w:val="79C60E0B"/>
    <w:rsid w:val="79F006F8"/>
    <w:rsid w:val="7A3D0BB8"/>
    <w:rsid w:val="7AA339BE"/>
    <w:rsid w:val="7AF37C26"/>
    <w:rsid w:val="7B031ED1"/>
    <w:rsid w:val="7B9B28DB"/>
    <w:rsid w:val="7BB35E76"/>
    <w:rsid w:val="7BB7127C"/>
    <w:rsid w:val="7BB96B4C"/>
    <w:rsid w:val="7BC26E14"/>
    <w:rsid w:val="7BE80EC7"/>
    <w:rsid w:val="7C3C40BE"/>
    <w:rsid w:val="7CA04D2F"/>
    <w:rsid w:val="7CCD486B"/>
    <w:rsid w:val="7D52440E"/>
    <w:rsid w:val="7D5671B4"/>
    <w:rsid w:val="7DEB3F5A"/>
    <w:rsid w:val="7EDB5E10"/>
    <w:rsid w:val="7EE54350"/>
    <w:rsid w:val="7EE66563"/>
    <w:rsid w:val="7F3F3249"/>
    <w:rsid w:val="7FD6634D"/>
    <w:rsid w:val="7FE9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autoRedefine/>
    <w:qFormat/>
    <w:uiPriority w:val="0"/>
    <w:pPr>
      <w:ind w:left="420" w:leftChars="200"/>
    </w:pPr>
    <w:rPr>
      <w:rFonts w:ascii="Calibri" w:hAnsi="Calibri"/>
    </w:rPr>
  </w:style>
  <w:style w:type="paragraph" w:styleId="4">
    <w:name w:val="Body Text"/>
    <w:basedOn w:val="1"/>
    <w:next w:val="5"/>
    <w:autoRedefine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First Indent"/>
    <w:basedOn w:val="4"/>
    <w:next w:val="6"/>
    <w:autoRedefine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next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next w:val="8"/>
    <w:autoRedefine/>
    <w:qFormat/>
    <w:uiPriority w:val="0"/>
    <w:pPr>
      <w:widowControl w:val="0"/>
      <w:ind w:firstLine="750"/>
      <w:jc w:val="both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8">
    <w:name w:val="Normal (Web)"/>
    <w:basedOn w:val="1"/>
    <w:next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autoRedefine/>
    <w:qFormat/>
    <w:uiPriority w:val="0"/>
    <w:rPr>
      <w:rFonts w:eastAsia="方正仿宋_GBK"/>
      <w:sz w:val="32"/>
    </w:rPr>
  </w:style>
  <w:style w:type="paragraph" w:styleId="11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12">
    <w:name w:val="Body Text First Indent 2"/>
    <w:basedOn w:val="7"/>
    <w:next w:val="7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character" w:styleId="15">
    <w:name w:val="Strong"/>
    <w:basedOn w:val="14"/>
    <w:autoRedefine/>
    <w:qFormat/>
    <w:uiPriority w:val="0"/>
    <w:rPr>
      <w:b/>
    </w:rPr>
  </w:style>
  <w:style w:type="character" w:styleId="16">
    <w:name w:val="FollowedHyperlink"/>
    <w:basedOn w:val="14"/>
    <w:autoRedefine/>
    <w:qFormat/>
    <w:uiPriority w:val="0"/>
    <w:rPr>
      <w:color w:val="800080"/>
      <w:u w:val="single"/>
    </w:rPr>
  </w:style>
  <w:style w:type="character" w:styleId="17">
    <w:name w:val="Hyperlink"/>
    <w:basedOn w:val="14"/>
    <w:autoRedefine/>
    <w:qFormat/>
    <w:uiPriority w:val="0"/>
    <w:rPr>
      <w:color w:val="0000FF"/>
      <w:u w:val="single"/>
    </w:rPr>
  </w:style>
  <w:style w:type="paragraph" w:customStyle="1" w:styleId="18">
    <w:name w:val="Char"/>
    <w:basedOn w:val="1"/>
    <w:autoRedefine/>
    <w:qFormat/>
    <w:uiPriority w:val="0"/>
    <w:rPr>
      <w:rFonts w:eastAsia="宋体" w:cs="Times New Roman"/>
    </w:rPr>
  </w:style>
  <w:style w:type="paragraph" w:customStyle="1" w:styleId="19">
    <w:name w:val="样式1"/>
    <w:basedOn w:val="1"/>
    <w:autoRedefine/>
    <w:qFormat/>
    <w:uiPriority w:val="99"/>
  </w:style>
  <w:style w:type="paragraph" w:customStyle="1" w:styleId="20">
    <w:name w:val="p18"/>
    <w:basedOn w:val="1"/>
    <w:autoRedefine/>
    <w:unhideWhenUsed/>
    <w:qFormat/>
    <w:uiPriority w:val="0"/>
    <w:pPr>
      <w:widowControl/>
    </w:pPr>
    <w:rPr>
      <w:rFonts w:hint="eastAsia" w:cs="黑体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2.xml"/><Relationship Id="rId3" Type="http://schemas.microsoft.com/office/2011/relationships/chartStyle" Target="style2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80" b="0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080" b="0"/>
              <a:t>2026</a:t>
            </a:r>
            <a:r>
              <a:rPr altLang="en-US" sz="1080" b="0"/>
              <a:t>年</a:t>
            </a:r>
            <a:r>
              <a:rPr lang="en-US" altLang="zh-CN" sz="1080" b="0"/>
              <a:t>1-6</a:t>
            </a:r>
            <a:r>
              <a:rPr altLang="en-US" sz="1080" b="0"/>
              <a:t>月限额以上社会消费品零售额分类值及增速</a:t>
            </a:r>
            <a:endParaRPr altLang="en-US" sz="1080" b="0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销售额（万元）</c:v>
                </c:pt>
              </c:strCache>
            </c:strRef>
          </c:tx>
          <c:spPr>
            <a:gradFill>
              <a:gsLst>
                <a:gs pos="0">
                  <a:srgbClr val="5B9BD5"/>
                </a:gs>
                <a:gs pos="74000">
                  <a:srgbClr val="5B9BD5">
                    <a:lumMod val="45000"/>
                    <a:lumOff val="55000"/>
                  </a:srgbClr>
                </a:gs>
                <a:gs pos="83000">
                  <a:srgbClr val="5B9BD5">
                    <a:lumMod val="45000"/>
                    <a:lumOff val="55000"/>
                  </a:srgbClr>
                </a:gs>
                <a:gs pos="100000">
                  <a:srgbClr val="5B9BD5">
                    <a:lumMod val="30000"/>
                    <a:lumOff val="70000"/>
                  </a:srgbClr>
                </a:gs>
              </a:gsLst>
              <a:lin ang="48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石油及制品类</c:v>
                </c:pt>
                <c:pt idx="1">
                  <c:v>粮油、食品类</c:v>
                </c:pt>
                <c:pt idx="2">
                  <c:v>日用品类</c:v>
                </c:pt>
                <c:pt idx="3">
                  <c:v>餐饮类</c:v>
                </c:pt>
                <c:pt idx="4">
                  <c:v>金银珠宝类</c:v>
                </c:pt>
                <c:pt idx="5">
                  <c:v>汽车类</c:v>
                </c:pt>
                <c:pt idx="6">
                  <c:v>家用电器和音像器材类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4615.9</c:v>
                </c:pt>
                <c:pt idx="1">
                  <c:v>8298</c:v>
                </c:pt>
                <c:pt idx="2">
                  <c:v>261.3</c:v>
                </c:pt>
                <c:pt idx="3">
                  <c:v>1080.6</c:v>
                </c:pt>
                <c:pt idx="4">
                  <c:v>782.9</c:v>
                </c:pt>
                <c:pt idx="5">
                  <c:v>72.4</c:v>
                </c:pt>
                <c:pt idx="6">
                  <c:v>509.3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35260906"/>
        <c:axId val="583288058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>
              <a:solidFill>
                <a:srgbClr val="ED7D3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>
                        <a:lumMod val="75000"/>
                        <a:lumOff val="2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ysClr val="windowText" lastClr="000000">
                          <a:lumMod val="35000"/>
                          <a:lumOff val="65000"/>
                        </a:sys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石油及制品类</c:v>
                </c:pt>
                <c:pt idx="1">
                  <c:v>粮油、食品类</c:v>
                </c:pt>
                <c:pt idx="2">
                  <c:v>日用品类</c:v>
                </c:pt>
                <c:pt idx="3">
                  <c:v>餐饮类</c:v>
                </c:pt>
                <c:pt idx="4">
                  <c:v>金银珠宝类</c:v>
                </c:pt>
                <c:pt idx="5">
                  <c:v>汽车类</c:v>
                </c:pt>
                <c:pt idx="6">
                  <c:v>家用电器和音像器材类</c:v>
                </c:pt>
              </c:strCache>
            </c:strRef>
          </c:cat>
          <c:val>
            <c:numRef>
              <c:f>Sheet1!$C$2:$C$8</c:f>
              <c:numCache>
                <c:formatCode>0.00%</c:formatCode>
                <c:ptCount val="7"/>
                <c:pt idx="0">
                  <c:v>-0.4695</c:v>
                </c:pt>
                <c:pt idx="1">
                  <c:v>0.442</c:v>
                </c:pt>
                <c:pt idx="2">
                  <c:v>0.4413</c:v>
                </c:pt>
                <c:pt idx="3">
                  <c:v>-0.1898</c:v>
                </c:pt>
                <c:pt idx="4">
                  <c:v>0.0668</c:v>
                </c:pt>
                <c:pt idx="5">
                  <c:v>-0.8721</c:v>
                </c:pt>
                <c:pt idx="6">
                  <c:v>-0.3614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10448013"/>
        <c:axId val="831579391"/>
      </c:lineChart>
      <c:catAx>
        <c:axId val="3526090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>
                <a:lumMod val="15000"/>
                <a:lumOff val="85000"/>
              </a:sys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</a:p>
        </c:txPr>
        <c:crossAx val="583288058"/>
        <c:crosses val="autoZero"/>
        <c:auto val="1"/>
        <c:lblAlgn val="ctr"/>
        <c:lblOffset val="100"/>
        <c:noMultiLvlLbl val="0"/>
      </c:catAx>
      <c:valAx>
        <c:axId val="58328805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ysClr val="window" lastClr="FFFFFF">
                  <a:lumMod val="90200"/>
                </a:sys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</a:p>
        </c:txPr>
        <c:crossAx val="35260906"/>
        <c:crosses val="autoZero"/>
        <c:crossBetween val="between"/>
      </c:valAx>
      <c:catAx>
        <c:axId val="110448013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</a:p>
        </c:txPr>
        <c:crossAx val="831579391"/>
        <c:crosses val="autoZero"/>
        <c:auto val="1"/>
        <c:lblAlgn val="ctr"/>
        <c:lblOffset val="100"/>
        <c:noMultiLvlLbl val="0"/>
      </c:catAx>
      <c:valAx>
        <c:axId val="831579391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</a:p>
        </c:txPr>
        <c:crossAx val="110448013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02196c9-bd2e-422f-bf51-8b71a4450cb8}"/>
      </c:ext>
    </c:extLst>
  </c:chart>
  <c:spPr>
    <a:solidFill>
      <a:sysClr val="window" lastClr="FFFFFF"/>
    </a:solidFill>
    <a:ln w="9525" cap="flat" cmpd="sng" algn="ctr">
      <a:solidFill>
        <a:sysClr val="windowText" lastClr="000000">
          <a:lumMod val="15000"/>
          <a:lumOff val="85000"/>
        </a:sysClr>
      </a:solidFill>
      <a:round/>
    </a:ln>
    <a:effectLst/>
  </c:spPr>
  <c:txPr>
    <a:bodyPr/>
    <a:lstStyle/>
    <a:p>
      <a:pPr>
        <a:defRPr lang="zh-CN" sz="900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2026</a:t>
            </a:r>
            <a:r>
              <a:rPr altLang="en-US"/>
              <a:t>年</a:t>
            </a:r>
            <a:r>
              <a:rPr lang="en-US" altLang="zh-CN"/>
              <a:t>1-5</a:t>
            </a:r>
            <a:r>
              <a:rPr altLang="en-US"/>
              <a:t>月规模以上服务业营业收入及增速</a:t>
            </a:r>
            <a:endParaRPr alt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营业收入（万元）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48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租赁和商务服务业</c:v>
                </c:pt>
                <c:pt idx="1">
                  <c:v>水利环境和公共设施管理业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3961.1</c:v>
                </c:pt>
                <c:pt idx="1">
                  <c:v>1165.2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316864917"/>
        <c:axId val="38809618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租赁和商务服务业</c:v>
                </c:pt>
                <c:pt idx="1">
                  <c:v>水利环境和公共设施管理业</c:v>
                </c:pt>
              </c:strCache>
            </c:strRef>
          </c:cat>
          <c:val>
            <c:numRef>
              <c:f>Sheet1!$C$2:$C$3</c:f>
              <c:numCache>
                <c:formatCode>0.00%</c:formatCode>
                <c:ptCount val="2"/>
                <c:pt idx="0">
                  <c:v>0.0961</c:v>
                </c:pt>
                <c:pt idx="1" c:formatCode="0%">
                  <c:v>581.6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18915789"/>
        <c:axId val="695383120"/>
      </c:lineChart>
      <c:catAx>
        <c:axId val="31686491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8809618"/>
        <c:crosses val="autoZero"/>
        <c:auto val="1"/>
        <c:lblAlgn val="ctr"/>
        <c:lblOffset val="100"/>
        <c:noMultiLvlLbl val="0"/>
      </c:catAx>
      <c:valAx>
        <c:axId val="3880961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16864917"/>
        <c:crosses val="autoZero"/>
        <c:crossBetween val="between"/>
      </c:valAx>
      <c:catAx>
        <c:axId val="18915789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95383120"/>
        <c:crosses val="autoZero"/>
        <c:auto val="1"/>
        <c:lblAlgn val="ctr"/>
        <c:lblOffset val="100"/>
        <c:noMultiLvlLbl val="0"/>
      </c:catAx>
      <c:valAx>
        <c:axId val="695383120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8915789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867376573088"/>
          <c:y val="0.920873362445415"/>
          <c:w val="0.53000968054211"/>
          <c:h val="0.0581659388646288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d4f2d110-65e7-43c7-8203-08bd7873dd81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298">
  <cs:axisTitle>
    <cs:lnRef idx="0"/>
    <cs:fillRef idx="0"/>
    <cs:effectRef idx="0"/>
    <cs:fontRef idx="minor">
      <a:sysClr val="windowText" lastClr="000000">
        <a:lumMod val="65000"/>
        <a:lumOff val="35000"/>
      </a:sysClr>
    </cs:fontRef>
    <cs:defRPr sz="1000" kern="1200"/>
  </cs:axisTitle>
  <cs:category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1000" kern="1200"/>
  </cs:chartArea>
  <cs:dataLabel>
    <cs:lnRef idx="0"/>
    <cs:fillRef idx="0"/>
    <cs:effectRef idx="0"/>
    <cs:fontRef idx="minor">
      <a:sysClr val="windowText" lastClr="000000">
        <a:lumMod val="75000"/>
        <a:lumOff val="25000"/>
      </a:sysClr>
    </cs:fontRef>
    <cs:defRPr sz="1000" kern="1200"/>
  </cs:dataLabel>
  <cs:dataLabelCallout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solidFill>
        <a:sysClr val="window" lastClr="FFFFFF"/>
      </a:solidFill>
      <a:ln>
        <a:solidFill>
          <a:sysClr val="windowText" lastClr="000000">
            <a:lumMod val="25000"/>
            <a:lumOff val="75000"/>
          </a:sys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ysClr val="windowText" lastClr="000000"/>
    </cs:fontRef>
  </cs:dataPoint3D>
  <cs:dataPointLine>
    <cs:lnRef idx="0">
      <cs:styleClr val="auto"/>
    </cs:lnRef>
    <cs:fillRef idx="1"/>
    <cs:effectRef idx="0"/>
    <cs:fontRef idx="minor">
      <a:sysClr val="windowText" lastClr="000000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ysClr val="windowText" lastClr="000000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ysClr val="windowText" lastClr="000000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noFill/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dataTable>
  <cs:downBar>
    <cs:lnRef idx="0"/>
    <cs:fillRef idx="0"/>
    <cs:effectRef idx="0"/>
    <cs:fontRef idx="minor">
      <a:sysClr val="windowText" lastClr="000000"/>
    </cs:fontRef>
    <cs:spPr>
      <a:solidFill>
        <a:sysClr val="windowText" lastClr="000000">
          <a:lumMod val="75000"/>
          <a:lumOff val="25000"/>
        </a:sysClr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downBar>
  <cs:drop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dropLine>
  <cs:errorBa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errorBar>
  <cs:floor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floor>
  <cs:gridlineMaj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" lastClr="FFFFFF">
            <a:lumMod val="90200"/>
          </a:sysClr>
        </a:solidFill>
        <a:round/>
      </a:ln>
    </cs:spPr>
  </cs:gridlineMajor>
  <cs:gridlineMinor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5000"/>
            <a:lumOff val="95000"/>
          </a:sysClr>
        </a:solidFill>
        <a:round/>
      </a:ln>
    </cs:spPr>
  </cs:gridlineMinor>
  <cs:hiLo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75000"/>
            <a:lumOff val="25000"/>
          </a:sysClr>
        </a:solidFill>
        <a:round/>
      </a:ln>
    </cs:spPr>
  </cs:hiLoLine>
  <cs:leader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leaderLine>
  <cs:legend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legend>
  <cs:plotArea mods="allowNoFillOverride allowNoLineOverride">
    <cs:lnRef idx="0"/>
    <cs:fillRef idx="0"/>
    <cs:effectRef idx="0"/>
    <cs:fontRef idx="minor">
      <a:sysClr val="windowText" lastClr="000000"/>
    </cs:fontRef>
  </cs:plotArea>
  <cs:plotArea3D mods="allowNoFillOverride allowNoLineOverride">
    <cs:lnRef idx="0"/>
    <cs:fillRef idx="0"/>
    <cs:effectRef idx="0"/>
    <cs:fontRef idx="minor">
      <a:sysClr val="windowText" lastClr="000000"/>
    </cs:fontRef>
  </cs:plotArea3D>
  <cs:seriesAxis>
    <cs:lnRef idx="0"/>
    <cs:fillRef idx="0"/>
    <cs:effectRef idx="0"/>
    <cs:fontRef idx="minor">
      <a:sysClr val="windowText" lastClr="000000">
        <a:lumMod val="65000"/>
        <a:lumOff val="35000"/>
      </a:sysClr>
    </cs:fontRef>
    <cs:spPr>
      <a:ln w="9525" cap="flat" cmpd="sng" algn="ctr">
        <a:solidFill>
          <a:sysClr val="windowText" lastClr="000000">
            <a:lumMod val="15000"/>
            <a:lumOff val="85000"/>
          </a:sysClr>
        </a:solidFill>
        <a:round/>
      </a:ln>
    </cs:spPr>
    <cs:defRPr sz="900" kern="1200"/>
  </cs:seriesAxis>
  <cs:seriesLine>
    <cs:lnRef idx="0"/>
    <cs:fillRef idx="0"/>
    <cs:effectRef idx="0"/>
    <cs:fontRef idx="minor">
      <a:sysClr val="windowText" lastClr="000000"/>
    </cs:fontRef>
    <cs:spPr>
      <a:ln w="9525" cap="flat" cmpd="sng" algn="ctr">
        <a:solidFill>
          <a:sysClr val="windowText" lastClr="000000">
            <a:lumMod val="35000"/>
            <a:lumOff val="65000"/>
          </a:sysClr>
        </a:solidFill>
        <a:round/>
      </a:ln>
    </cs:spPr>
  </cs:seriesLine>
  <cs:title>
    <cs:lnRef idx="0"/>
    <cs:fillRef idx="0"/>
    <cs:effectRef idx="0"/>
    <cs:fontRef idx="minor">
      <a:sysClr val="windowText" lastClr="000000">
        <a:lumMod val="75000"/>
        <a:lumOff val="25000"/>
      </a:sysClr>
    </cs:fontRef>
    <cs:defRPr sz="1400" b="1" kern="1200" baseline="0"/>
  </cs:title>
  <cs:trendline>
    <cs:lnRef idx="0">
      <cs:styleClr val="auto"/>
    </cs:lnRef>
    <cs:fillRef idx="0"/>
    <cs:effectRef idx="0"/>
    <cs:fontRef idx="minor">
      <a:sysClr val="windowText" lastClr="000000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trendlineLabel>
  <cs:upBar>
    <cs:lnRef idx="0"/>
    <cs:fillRef idx="0"/>
    <cs:effectRef idx="0"/>
    <cs:fontRef idx="minor">
      <a:sysClr val="windowText" lastClr="000000"/>
    </cs:fontRef>
    <cs:spPr>
      <a:solidFill>
        <a:sysClr val="window" lastClr="FFFFFF"/>
      </a:solidFill>
      <a:ln w="9525" cap="flat" cmpd="sng" algn="ctr">
        <a:solidFill>
          <a:sysClr val="windowText" lastClr="000000">
            <a:lumMod val="65000"/>
            <a:lumOff val="35000"/>
          </a:sysClr>
        </a:solidFill>
        <a:round/>
      </a:ln>
    </cs:spPr>
  </cs:upBar>
  <cs:valueAxis>
    <cs:lnRef idx="0"/>
    <cs:fillRef idx="0"/>
    <cs:effectRef idx="0"/>
    <cs:fontRef idx="minor">
      <a:sysClr val="windowText" lastClr="000000">
        <a:lumMod val="65000"/>
        <a:lumOff val="35000"/>
      </a:sysClr>
    </cs:fontRef>
    <cs:defRPr sz="900" kern="1200"/>
  </cs:valueAxis>
  <cs:wall>
    <cs:lnRef idx="0"/>
    <cs:fillRef idx="0"/>
    <cs:effectRef idx="0"/>
    <cs:fontRef idx="minor">
      <a:sysClr val="windowText" lastClr="000000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1968</Words>
  <Characters>2460</Characters>
  <Lines>0</Lines>
  <Paragraphs>0</Paragraphs>
  <TotalTime>0</TotalTime>
  <ScaleCrop>false</ScaleCrop>
  <LinksUpToDate>false</LinksUpToDate>
  <CharactersWithSpaces>2465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2024-11-05T03:19:00Z</dcterms:created>
  <dc:creator>Administrator</dc:creator>
  <cp:lastModifiedBy>马红春</cp:lastModifiedBy>
  <cp:lastPrinted>2025-04-23T11:32:00Z</cp:lastPrinted>
  <dcterms:modified xsi:type="dcterms:W3CDTF">2026-08-05T09:54:26Z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51C8E4A862244695A304058061A2988D_13</vt:lpwstr>
  </property>
  <property fmtid="{D5CDD505-2E9C-101B-9397-08002B2CF9AE}" pid="4" name="KSOTemplateDocerSaveRecord">
    <vt:lpwstr>eyJoZGlkIjoiOTQyZmVhMDBkZjk3MzUzZTBhNDMwODYyNzdjMDhmZjUiLCJ1c2VySWQiOiIxODUwMjA4ODU5In0=</vt:lpwstr>
  </property>
</Properties>
</file>