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且末县英吾斯塘乡卫生院2024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15317FA">
      <w:r>
        <w:br w:type="page"/>
      </w:r>
    </w:p>
    <w:p w14:paraId="36B625A9">
      <w:pPr>
        <w:spacing w:line="640" w:lineRule="exact"/>
        <w:jc w:val="center"/>
        <w:outlineLvl w:val="1"/>
      </w:pPr>
      <w:r>
        <w:rPr>
          <w:rFonts w:ascii="黑体" w:hAnsi="黑体" w:eastAsia="黑体"/>
          <w:sz w:val="32"/>
        </w:rPr>
        <w:t>第一部分 单位概况</w:t>
      </w:r>
    </w:p>
    <w:p w14:paraId="218B61C1">
      <w:pPr>
        <w:spacing w:line="640" w:lineRule="exact"/>
        <w:ind w:firstLine="640"/>
        <w:jc w:val="both"/>
        <w:outlineLvl w:val="2"/>
      </w:pPr>
      <w:r>
        <w:rPr>
          <w:rFonts w:ascii="黑体" w:hAnsi="黑体" w:eastAsia="黑体"/>
          <w:sz w:val="32"/>
        </w:rPr>
        <w:t>一、主要职能</w:t>
      </w:r>
    </w:p>
    <w:p w14:paraId="2ABA0AFA">
      <w:pPr>
        <w:spacing w:line="580" w:lineRule="exact"/>
        <w:ind w:firstLine="640"/>
        <w:jc w:val="both"/>
      </w:pPr>
      <w:r>
        <w:rPr>
          <w:rFonts w:hint="eastAsia" w:ascii="仿宋_GB2312" w:hAnsi="仿宋_GB2312" w:eastAsia="仿宋_GB2312"/>
          <w:sz w:val="32"/>
          <w:lang w:val="en-US" w:eastAsia="zh-CN"/>
        </w:rPr>
        <w:t>单位</w:t>
      </w:r>
      <w:r>
        <w:rPr>
          <w:rFonts w:ascii="仿宋_GB2312" w:hAnsi="仿宋_GB2312" w:eastAsia="仿宋_GB2312"/>
          <w:sz w:val="32"/>
        </w:rPr>
        <w:t>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主管局且末县卫健委委托承担辖区内公共卫生管理，负责对村级卫生机构的技术指导和对乡村医生的管理、培训等。全面实施国家基本公共卫生服务和重大公共卫生服务项目，提高农民保健意识。</w:t>
      </w:r>
    </w:p>
    <w:p w14:paraId="477136AA">
      <w:pPr>
        <w:spacing w:line="640" w:lineRule="exact"/>
        <w:ind w:firstLine="640"/>
        <w:jc w:val="both"/>
        <w:outlineLvl w:val="2"/>
      </w:pPr>
      <w:r>
        <w:rPr>
          <w:rFonts w:ascii="黑体" w:hAnsi="黑体" w:eastAsia="黑体"/>
          <w:sz w:val="32"/>
        </w:rPr>
        <w:t>二、机构设置及人员情况</w:t>
      </w:r>
    </w:p>
    <w:p w14:paraId="0150AF2E">
      <w:pPr>
        <w:spacing w:line="580" w:lineRule="exact"/>
        <w:ind w:firstLine="640"/>
        <w:jc w:val="both"/>
      </w:pPr>
      <w:r>
        <w:rPr>
          <w:rFonts w:ascii="仿宋_GB2312" w:hAnsi="仿宋_GB2312" w:eastAsia="仿宋_GB2312"/>
          <w:sz w:val="32"/>
        </w:rPr>
        <w:t>且末县英吾斯塘乡卫生院2024年度，实有人数27人，其中：在职人员18人，减少2人；离休人员0人，增加0人；退休人员9人,增加2人。</w:t>
      </w:r>
    </w:p>
    <w:p w14:paraId="36155F8C">
      <w:pPr>
        <w:spacing w:line="580" w:lineRule="exact"/>
        <w:ind w:firstLine="640"/>
        <w:jc w:val="both"/>
      </w:pPr>
      <w:r>
        <w:rPr>
          <w:rFonts w:ascii="仿宋_GB2312" w:hAnsi="仿宋_GB2312" w:eastAsia="仿宋_GB2312"/>
          <w:sz w:val="32"/>
        </w:rPr>
        <w:t>且末县英吾斯塘乡卫生院无下属预算单位，下设3个科室，分别是：收费室、党政办公室、基本公共卫生科。</w:t>
      </w:r>
    </w:p>
    <w:p w14:paraId="2C0AEF84">
      <w:r>
        <w:br w:type="page"/>
      </w:r>
    </w:p>
    <w:p w14:paraId="1A08007B">
      <w:pPr>
        <w:spacing w:line="240" w:lineRule="auto"/>
        <w:jc w:val="center"/>
        <w:outlineLvl w:val="1"/>
      </w:pPr>
      <w:r>
        <w:rPr>
          <w:rFonts w:ascii="黑体" w:hAnsi="黑体" w:eastAsia="黑体"/>
          <w:sz w:val="32"/>
        </w:rPr>
        <w:t>第二部分 部门决算情况说明</w:t>
      </w:r>
    </w:p>
    <w:p w14:paraId="247AEEC4">
      <w:pPr>
        <w:spacing w:line="640" w:lineRule="exact"/>
        <w:ind w:firstLine="640"/>
        <w:jc w:val="both"/>
        <w:outlineLvl w:val="2"/>
      </w:pPr>
      <w:r>
        <w:rPr>
          <w:rFonts w:ascii="黑体" w:hAnsi="黑体" w:eastAsia="黑体"/>
          <w:sz w:val="32"/>
        </w:rPr>
        <w:t>一、收入支出决算总体情况说明</w:t>
      </w:r>
    </w:p>
    <w:p w14:paraId="2D9BD5AA">
      <w:pPr>
        <w:spacing w:line="580" w:lineRule="exact"/>
        <w:ind w:firstLine="640"/>
        <w:jc w:val="both"/>
      </w:pPr>
      <w:r>
        <w:rPr>
          <w:rFonts w:ascii="仿宋_GB2312" w:hAnsi="仿宋_GB2312" w:eastAsia="仿宋_GB2312"/>
          <w:b/>
          <w:sz w:val="32"/>
        </w:rPr>
        <w:t>2024年度收入总计452.33万元，</w:t>
      </w:r>
      <w:r>
        <w:rPr>
          <w:rFonts w:ascii="仿宋_GB2312" w:hAnsi="仿宋_GB2312" w:eastAsia="仿宋_GB2312"/>
          <w:b w:val="0"/>
          <w:sz w:val="32"/>
        </w:rPr>
        <w:t>其中：本年收入合计452.33万元，使用非财政拨款结余（含专用结余）0.00万元，年初结转和结余0.00万元。</w:t>
      </w:r>
    </w:p>
    <w:p w14:paraId="068C2A9E">
      <w:pPr>
        <w:spacing w:line="580" w:lineRule="exact"/>
        <w:ind w:firstLine="640"/>
        <w:jc w:val="both"/>
      </w:pPr>
      <w:r>
        <w:rPr>
          <w:rFonts w:ascii="仿宋_GB2312" w:hAnsi="仿宋_GB2312" w:eastAsia="仿宋_GB2312"/>
          <w:b/>
          <w:sz w:val="32"/>
        </w:rPr>
        <w:t>2024年度支出总计452.33万元，</w:t>
      </w:r>
      <w:r>
        <w:rPr>
          <w:rFonts w:ascii="仿宋_GB2312" w:hAnsi="仿宋_GB2312" w:eastAsia="仿宋_GB2312"/>
          <w:b w:val="0"/>
          <w:sz w:val="32"/>
        </w:rPr>
        <w:t>其中：本年支出合计423.34万元，结余分配28.99万元，年末结转和结余0.00万元。</w:t>
      </w:r>
    </w:p>
    <w:p w14:paraId="42E9A332">
      <w:pPr>
        <w:spacing w:line="580" w:lineRule="exact"/>
        <w:ind w:firstLine="640"/>
        <w:jc w:val="both"/>
      </w:pPr>
      <w:r>
        <w:rPr>
          <w:rFonts w:ascii="仿宋_GB2312" w:hAnsi="仿宋_GB2312" w:eastAsia="仿宋_GB2312"/>
          <w:b w:val="0"/>
          <w:sz w:val="32"/>
        </w:rPr>
        <w:t>收入支出总体与上年相比，减少55.87万元，下降10.99%，主要原因是：1.本年在职人员减少，人员经费减少；2.本年地方病防治补助资金、基本药物制度补助资金等项目资金较上年减少。</w:t>
      </w:r>
    </w:p>
    <w:p w14:paraId="5896D08C">
      <w:pPr>
        <w:spacing w:line="640" w:lineRule="exact"/>
        <w:ind w:firstLine="640"/>
        <w:jc w:val="both"/>
        <w:outlineLvl w:val="2"/>
      </w:pPr>
      <w:r>
        <w:rPr>
          <w:rFonts w:ascii="黑体" w:hAnsi="黑体" w:eastAsia="黑体"/>
          <w:sz w:val="32"/>
        </w:rPr>
        <w:t>二、收入决算情况说明</w:t>
      </w:r>
    </w:p>
    <w:p w14:paraId="4B561F00">
      <w:pPr>
        <w:spacing w:line="580" w:lineRule="exact"/>
        <w:ind w:firstLine="640"/>
        <w:jc w:val="both"/>
      </w:pPr>
      <w:r>
        <w:rPr>
          <w:rFonts w:ascii="仿宋_GB2312" w:hAnsi="仿宋_GB2312" w:eastAsia="仿宋_GB2312"/>
          <w:b/>
          <w:sz w:val="32"/>
        </w:rPr>
        <w:t>本年收入452.33万元，</w:t>
      </w:r>
      <w:r>
        <w:rPr>
          <w:rFonts w:ascii="仿宋_GB2312" w:hAnsi="仿宋_GB2312" w:eastAsia="仿宋_GB2312"/>
          <w:b w:val="0"/>
          <w:sz w:val="32"/>
        </w:rPr>
        <w:t>其中：财政拨款收入354.57万元，占78.39%；上级补助收入0.00万元，占0.00%；事业收入97.51万元，占21.56%；经营收入0.00万元，占0.00%；附属单位上缴收入0.00万元，占0.00%；其他收入0.25万元，占0.06%。</w:t>
      </w:r>
    </w:p>
    <w:p w14:paraId="32F7B35B">
      <w:pPr>
        <w:spacing w:line="640" w:lineRule="exact"/>
        <w:ind w:firstLine="640"/>
        <w:jc w:val="both"/>
        <w:outlineLvl w:val="2"/>
      </w:pPr>
      <w:r>
        <w:rPr>
          <w:rFonts w:ascii="黑体" w:hAnsi="黑体" w:eastAsia="黑体"/>
          <w:sz w:val="32"/>
        </w:rPr>
        <w:t>三、支出决算情况说明</w:t>
      </w:r>
    </w:p>
    <w:p w14:paraId="3F1D1DE4">
      <w:pPr>
        <w:spacing w:line="580" w:lineRule="exact"/>
        <w:ind w:firstLine="640"/>
        <w:jc w:val="both"/>
      </w:pPr>
      <w:r>
        <w:rPr>
          <w:rFonts w:ascii="仿宋_GB2312" w:hAnsi="仿宋_GB2312" w:eastAsia="仿宋_GB2312"/>
          <w:b/>
          <w:sz w:val="32"/>
        </w:rPr>
        <w:t>本年支出423.34万元，</w:t>
      </w:r>
      <w:r>
        <w:rPr>
          <w:rFonts w:ascii="仿宋_GB2312" w:hAnsi="仿宋_GB2312" w:eastAsia="仿宋_GB2312"/>
          <w:b w:val="0"/>
          <w:sz w:val="32"/>
        </w:rPr>
        <w:t>其中：基本支出383.37万元，占90.56%；项目支出39.97万元，占9.44%；上缴上级支出0.00万元，占0.00%；经营支出0.00万元，占0.00%；对附属单位补助支出0.00万元，占0.00%。</w:t>
      </w:r>
    </w:p>
    <w:p w14:paraId="72711005">
      <w:pPr>
        <w:spacing w:line="640" w:lineRule="exact"/>
        <w:ind w:firstLine="640"/>
        <w:jc w:val="both"/>
        <w:outlineLvl w:val="2"/>
      </w:pPr>
      <w:r>
        <w:rPr>
          <w:rFonts w:ascii="黑体" w:hAnsi="黑体" w:eastAsia="黑体"/>
          <w:sz w:val="32"/>
        </w:rPr>
        <w:t>四、财政拨款收入支出决算总体情况说明</w:t>
      </w:r>
    </w:p>
    <w:p w14:paraId="1EF59DD6">
      <w:pPr>
        <w:spacing w:line="580" w:lineRule="exact"/>
        <w:ind w:firstLine="640"/>
        <w:jc w:val="both"/>
      </w:pPr>
      <w:r>
        <w:rPr>
          <w:rFonts w:ascii="仿宋_GB2312" w:hAnsi="仿宋_GB2312" w:eastAsia="仿宋_GB2312"/>
          <w:b/>
          <w:sz w:val="32"/>
        </w:rPr>
        <w:t>2024年度财政拨款收入总计354.57万元，</w:t>
      </w:r>
      <w:r>
        <w:rPr>
          <w:rFonts w:ascii="仿宋_GB2312" w:hAnsi="仿宋_GB2312" w:eastAsia="仿宋_GB2312"/>
          <w:b w:val="0"/>
          <w:sz w:val="32"/>
        </w:rPr>
        <w:t>其中：年初财政拨款结转和结余0.00万元，本年财政拨款收入354.57万元。</w:t>
      </w:r>
      <w:r>
        <w:rPr>
          <w:rFonts w:ascii="仿宋_GB2312" w:hAnsi="仿宋_GB2312" w:eastAsia="仿宋_GB2312"/>
          <w:b/>
          <w:sz w:val="32"/>
        </w:rPr>
        <w:t>财政拨款支出总计354.57万元，</w:t>
      </w:r>
      <w:r>
        <w:rPr>
          <w:rFonts w:ascii="仿宋_GB2312" w:hAnsi="仿宋_GB2312" w:eastAsia="仿宋_GB2312"/>
          <w:b w:val="0"/>
          <w:sz w:val="32"/>
        </w:rPr>
        <w:t>其中：年末财政拨款结转和结余0.00万元，本年财政拨款支出354.57万元。</w:t>
      </w:r>
    </w:p>
    <w:p w14:paraId="7AA092D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减少90.44万元，下降20.32%，主要原因是：1.本年在职人员减少，人员经费减少；2.本年地方病防治补助资金、基本药物制度补助资金等项目资金较上年减少。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年初预算数371.46万元，决算数354.57万元，预决算差异率-4.55%，主要原因是：本年在职人员减少，年中调减人员经费，导致预决算存在差异。</w:t>
      </w:r>
    </w:p>
    <w:p w14:paraId="33FF4A14">
      <w:pPr>
        <w:spacing w:line="640" w:lineRule="exact"/>
        <w:ind w:firstLine="640"/>
        <w:jc w:val="both"/>
        <w:outlineLvl w:val="2"/>
      </w:pPr>
      <w:r>
        <w:rPr>
          <w:rFonts w:ascii="黑体" w:hAnsi="黑体" w:eastAsia="黑体"/>
          <w:sz w:val="32"/>
        </w:rPr>
        <w:t>五、一般公共预算财政拨款支出决算情况说明</w:t>
      </w:r>
    </w:p>
    <w:p w14:paraId="082938B1">
      <w:pPr>
        <w:spacing w:line="640" w:lineRule="exact"/>
        <w:ind w:firstLine="640"/>
        <w:jc w:val="both"/>
        <w:outlineLvl w:val="3"/>
      </w:pPr>
      <w:r>
        <w:rPr>
          <w:rFonts w:ascii="楷体_GB2312" w:hAnsi="楷体_GB2312" w:eastAsia="楷体_GB2312"/>
          <w:b/>
          <w:sz w:val="32"/>
        </w:rPr>
        <w:t>（一）一般公共预算财政拨款支出决算总体情况</w:t>
      </w:r>
    </w:p>
    <w:p w14:paraId="0D4EB5B6">
      <w:pPr>
        <w:spacing w:line="580" w:lineRule="exact"/>
        <w:ind w:firstLine="640"/>
        <w:jc w:val="both"/>
      </w:pPr>
      <w:r>
        <w:rPr>
          <w:rFonts w:ascii="仿宋_GB2312" w:hAnsi="仿宋_GB2312" w:eastAsia="仿宋_GB2312"/>
          <w:b/>
          <w:sz w:val="32"/>
        </w:rPr>
        <w:t>2024年度一般公共预算财政拨款支出354.39万元，</w:t>
      </w:r>
      <w:r>
        <w:rPr>
          <w:rFonts w:ascii="仿宋_GB2312" w:hAnsi="仿宋_GB2312" w:eastAsia="仿宋_GB2312"/>
          <w:b w:val="0"/>
          <w:sz w:val="32"/>
        </w:rPr>
        <w:t>占本年支出合计的83.71%。</w:t>
      </w:r>
      <w:r>
        <w:rPr>
          <w:rFonts w:ascii="仿宋_GB2312" w:hAnsi="仿宋_GB2312" w:eastAsia="仿宋_GB2312"/>
          <w:b/>
          <w:sz w:val="32"/>
        </w:rPr>
        <w:t>与上年相比，</w:t>
      </w:r>
      <w:r>
        <w:rPr>
          <w:rFonts w:ascii="仿宋_GB2312" w:hAnsi="仿宋_GB2312" w:eastAsia="仿宋_GB2312"/>
          <w:b w:val="0"/>
          <w:sz w:val="32"/>
        </w:rPr>
        <w:t>减少90.62万元，下降20.36%，主要原因是：1.本年在职人员减少，人员经费减少；2.本年地方病防治补助资金、基本药物制度补助资金等项目资金较上年减少。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年初预算数371.46万元，决算数354.39万元，预决算差异率-4.60%，主要原因是：本年在职人员减少，年中调减人员经费，导致预决算存在差异。</w:t>
      </w:r>
    </w:p>
    <w:p w14:paraId="60C145B1">
      <w:pPr>
        <w:spacing w:line="640" w:lineRule="exact"/>
        <w:ind w:firstLine="640"/>
        <w:jc w:val="both"/>
        <w:outlineLvl w:val="3"/>
      </w:pPr>
      <w:r>
        <w:rPr>
          <w:rFonts w:ascii="楷体_GB2312" w:hAnsi="楷体_GB2312" w:eastAsia="楷体_GB2312"/>
          <w:b/>
          <w:sz w:val="32"/>
        </w:rPr>
        <w:t>（二）一般公共预算财政拨款支出决算结构情况</w:t>
      </w:r>
    </w:p>
    <w:p w14:paraId="624491E6">
      <w:pPr>
        <w:spacing w:line="580" w:lineRule="exact"/>
        <w:ind w:firstLine="640"/>
        <w:jc w:val="both"/>
      </w:pPr>
      <w:r>
        <w:rPr>
          <w:rFonts w:ascii="仿宋_GB2312" w:hAnsi="仿宋_GB2312" w:eastAsia="仿宋_GB2312"/>
          <w:b w:val="0"/>
          <w:sz w:val="32"/>
        </w:rPr>
        <w:t>1.社会保障和就业支出(类)50.48万元,占14.24%。</w:t>
      </w:r>
    </w:p>
    <w:p w14:paraId="22343A6D">
      <w:pPr>
        <w:spacing w:line="580" w:lineRule="exact"/>
        <w:ind w:firstLine="640"/>
        <w:jc w:val="both"/>
      </w:pPr>
      <w:r>
        <w:rPr>
          <w:rFonts w:ascii="仿宋_GB2312" w:hAnsi="仿宋_GB2312" w:eastAsia="仿宋_GB2312"/>
          <w:b w:val="0"/>
          <w:sz w:val="32"/>
        </w:rPr>
        <w:t>2.卫生健康支出(类)279.11万元,占78.76%。</w:t>
      </w:r>
    </w:p>
    <w:p w14:paraId="694E331B">
      <w:pPr>
        <w:spacing w:line="580" w:lineRule="exact"/>
        <w:ind w:firstLine="640"/>
        <w:jc w:val="both"/>
      </w:pPr>
      <w:r>
        <w:rPr>
          <w:rFonts w:ascii="仿宋_GB2312" w:hAnsi="仿宋_GB2312" w:eastAsia="仿宋_GB2312"/>
          <w:b w:val="0"/>
          <w:sz w:val="32"/>
        </w:rPr>
        <w:t>3.住房保障支出(类)24.81万元,占7.00%。</w:t>
      </w:r>
    </w:p>
    <w:p w14:paraId="09D33E94">
      <w:pPr>
        <w:spacing w:line="640" w:lineRule="exact"/>
        <w:ind w:firstLine="640"/>
        <w:jc w:val="both"/>
        <w:outlineLvl w:val="3"/>
      </w:pPr>
      <w:r>
        <w:rPr>
          <w:rFonts w:ascii="楷体_GB2312" w:hAnsi="楷体_GB2312" w:eastAsia="楷体_GB2312"/>
          <w:b/>
          <w:sz w:val="32"/>
        </w:rPr>
        <w:t>（三）一般公共预算财政拨款支出决算具体情况</w:t>
      </w:r>
    </w:p>
    <w:p w14:paraId="572C10B2">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6.19万元，比上年决算增加2.16万元，增长53.60%,主要原因是：本年增加退休人员基础绩效奖，退休费支出增加；本年退休人员增加，退休费支出增加。</w:t>
      </w:r>
    </w:p>
    <w:p w14:paraId="106A289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31.76万元，比上年决算减少0.66万元，下降2.04%,主要原因是：本年在职人员减少，单位基本养老保险缴费较上年减少。</w:t>
      </w:r>
    </w:p>
    <w:p w14:paraId="7F8EB26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3.社会保障和就业支出(类)行政事业单位养老支出(款)机关事业单位职业年金缴费支出(项):支出决算数为12.53万元，比上年决算增加12.53万元，增长100.00%,主要原因是：本年新增退休人员，职业年金缴费支出增加。</w:t>
      </w:r>
    </w:p>
    <w:p w14:paraId="677BC135">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4.社会保障和就业支出(类)就业补助(款)其他就业补助支出(项):支出决算数为0.00万元，比上年决算减少15.98万元，下降100.00%,主要原因是：本年减少事业岗人员其他工资福利支出。</w:t>
      </w:r>
    </w:p>
    <w:p w14:paraId="6F7CF48E">
      <w:pPr>
        <w:spacing w:line="580" w:lineRule="exact"/>
        <w:ind w:firstLine="640"/>
        <w:jc w:val="both"/>
      </w:pPr>
      <w:r>
        <w:rPr>
          <w:rFonts w:ascii="仿宋_GB2312" w:hAnsi="仿宋_GB2312" w:eastAsia="仿宋_GB2312"/>
          <w:b w:val="0"/>
          <w:sz w:val="32"/>
        </w:rPr>
        <w:t>5.卫生健康支出(类)基层医疗卫生机构(款)乡镇卫生院(项):支出决算数为224.18万元，比上年决算减少58.84万元，下降20.79%,主要原因是：本年在职人员减少，人员经费减少。</w:t>
      </w:r>
    </w:p>
    <w:p w14:paraId="3568F770">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6.卫生健康支出(类)基层医疗卫生机构(款)其他基层医疗卫生机构支出(项):支出决算数为9.98万元，比上年决算减少7.70万元，下降43.55%,主要原因是：本年基本药物制度补助资金较上年减少。</w:t>
      </w:r>
    </w:p>
    <w:p w14:paraId="3D0D25E9">
      <w:pPr>
        <w:spacing w:line="580" w:lineRule="exact"/>
        <w:ind w:firstLine="640"/>
        <w:jc w:val="both"/>
      </w:pPr>
      <w:r>
        <w:rPr>
          <w:rFonts w:ascii="仿宋_GB2312" w:hAnsi="仿宋_GB2312" w:eastAsia="仿宋_GB2312"/>
          <w:b w:val="0"/>
          <w:sz w:val="32"/>
        </w:rPr>
        <w:t>7.卫生健康支出(类)公共卫生(款)基本公共卫生服务(项):支出决算数为29.22万元，比上年决算减少23.17万元，下降44.23%,主要原因是：本年地方病防治补助资金较上年减少。</w:t>
      </w:r>
    </w:p>
    <w:p w14:paraId="0C34308F">
      <w:pPr>
        <w:spacing w:line="580" w:lineRule="exact"/>
        <w:ind w:firstLine="640"/>
        <w:jc w:val="both"/>
      </w:pPr>
      <w:r>
        <w:rPr>
          <w:rFonts w:ascii="仿宋_GB2312" w:hAnsi="仿宋_GB2312" w:eastAsia="仿宋_GB2312"/>
          <w:b w:val="0"/>
          <w:sz w:val="32"/>
        </w:rPr>
        <w:t>8.卫生健康支出(类)</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事务(款)计划生育服务(项):支出决算数为0.58万元，比上年决算增加0.58万元，增长100.00%,主要原因是：本年新增JHSY服务查孕查环经费。</w:t>
      </w:r>
    </w:p>
    <w:p w14:paraId="4718EE7F">
      <w:pPr>
        <w:spacing w:line="580" w:lineRule="exact"/>
        <w:ind w:firstLine="640"/>
        <w:jc w:val="both"/>
      </w:pPr>
      <w:r>
        <w:rPr>
          <w:rFonts w:ascii="仿宋_GB2312" w:hAnsi="仿宋_GB2312" w:eastAsia="仿宋_GB2312"/>
          <w:b w:val="0"/>
          <w:sz w:val="32"/>
        </w:rPr>
        <w:t>9.卫生健康支出(类)行政事业单位医疗(款)事业单位医疗(项):支出决算数为15.15万元，比上年决算减少0.18万元，下降1.17%,主要原因是：本年在职人员减少，事业单位医疗支出较上年减少。</w:t>
      </w:r>
    </w:p>
    <w:p w14:paraId="78FD4326">
      <w:pPr>
        <w:spacing w:line="580" w:lineRule="exact"/>
        <w:ind w:firstLine="640"/>
        <w:jc w:val="both"/>
      </w:pPr>
      <w:r>
        <w:rPr>
          <w:rFonts w:ascii="仿宋_GB2312" w:hAnsi="仿宋_GB2312" w:eastAsia="仿宋_GB2312"/>
          <w:b w:val="0"/>
          <w:sz w:val="32"/>
        </w:rPr>
        <w:t>10.住房保障支出(类)住房改革支出(款)住房公积金(项):支出决算数为24.81万元，比上年决算增加0.64万元，增长2.65%,主要原因是：本年在职人员工资基数调增，公积金缴费基数上涨，相应支出增加。</w:t>
      </w:r>
    </w:p>
    <w:p w14:paraId="0DBAD04C">
      <w:pPr>
        <w:spacing w:line="640" w:lineRule="exact"/>
        <w:ind w:firstLine="640"/>
        <w:jc w:val="both"/>
        <w:outlineLvl w:val="2"/>
      </w:pPr>
      <w:r>
        <w:rPr>
          <w:rFonts w:ascii="黑体" w:hAnsi="黑体" w:eastAsia="黑体"/>
          <w:sz w:val="32"/>
        </w:rPr>
        <w:t>六、一般公共预算财政拨款基本支出决算情况说明</w:t>
      </w:r>
    </w:p>
    <w:p w14:paraId="414EB213">
      <w:pPr>
        <w:spacing w:line="580" w:lineRule="exact"/>
        <w:ind w:firstLine="640"/>
        <w:jc w:val="both"/>
      </w:pPr>
      <w:r>
        <w:rPr>
          <w:rFonts w:ascii="仿宋_GB2312" w:hAnsi="仿宋_GB2312" w:eastAsia="仿宋_GB2312"/>
          <w:b w:val="0"/>
          <w:sz w:val="32"/>
        </w:rPr>
        <w:t>2024年度一般公共预算财政拨款基本支出314.61万元，其中：</w:t>
      </w:r>
      <w:r>
        <w:rPr>
          <w:rFonts w:ascii="仿宋_GB2312" w:hAnsi="仿宋_GB2312" w:eastAsia="仿宋_GB2312"/>
          <w:b/>
          <w:sz w:val="32"/>
        </w:rPr>
        <w:t>人员经费314.61万元，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包括：基本工资、津贴补贴、奖金、绩效工资、机关事业单位基本养老保险缴费、职业年金缴费、职工基本医疗保险缴费、其他社会保障缴费、住房公积金、退休费、生活补助。</w:t>
      </w:r>
    </w:p>
    <w:p w14:paraId="73BBBB19">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14CB9962">
      <w:pPr>
        <w:spacing w:line="640" w:lineRule="exact"/>
        <w:ind w:firstLine="640"/>
        <w:jc w:val="both"/>
        <w:outlineLvl w:val="2"/>
      </w:pPr>
      <w:r>
        <w:rPr>
          <w:rFonts w:ascii="黑体" w:hAnsi="黑体" w:eastAsia="黑体"/>
          <w:sz w:val="32"/>
        </w:rPr>
        <w:t>七、政府性基金预算财政拨款收入支出决算情况说明</w:t>
      </w:r>
    </w:p>
    <w:p w14:paraId="539EC6A4">
      <w:pPr>
        <w:spacing w:line="580" w:lineRule="exact"/>
        <w:ind w:firstLine="640"/>
        <w:jc w:val="both"/>
      </w:pPr>
      <w:r>
        <w:rPr>
          <w:rFonts w:ascii="仿宋_GB2312" w:hAnsi="仿宋_GB2312" w:eastAsia="仿宋_GB2312"/>
          <w:b/>
          <w:sz w:val="32"/>
        </w:rPr>
        <w:t>2024年度政府性基金预算财政拨款收入总计0.18万元，</w:t>
      </w:r>
      <w:r>
        <w:rPr>
          <w:rFonts w:ascii="仿宋_GB2312" w:hAnsi="仿宋_GB2312" w:eastAsia="仿宋_GB2312"/>
          <w:b w:val="0"/>
          <w:sz w:val="32"/>
        </w:rPr>
        <w:t>其中：年初结转和结余0.00万元，本年收入0.18万元。</w:t>
      </w:r>
      <w:r>
        <w:rPr>
          <w:rFonts w:ascii="仿宋_GB2312" w:hAnsi="仿宋_GB2312" w:eastAsia="仿宋_GB2312"/>
          <w:b/>
          <w:sz w:val="32"/>
        </w:rPr>
        <w:t>政府性基金预算财政拨款支出总计0.18万元，</w:t>
      </w:r>
      <w:r>
        <w:rPr>
          <w:rFonts w:ascii="仿宋_GB2312" w:hAnsi="仿宋_GB2312" w:eastAsia="仿宋_GB2312"/>
          <w:b w:val="0"/>
          <w:sz w:val="32"/>
        </w:rPr>
        <w:t>其中：年末结转和结余0.00万元，本年支出0.18万元。</w:t>
      </w:r>
    </w:p>
    <w:p w14:paraId="3F5F3F2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增加0.18万元，增长100.00%，主要原因是：本年增加老年人医养结合经费。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年初预算数0.00万元，决算数0.18万元，预决算差异率100.00%，主要原因是：年中追加老年人医养结合经费。</w:t>
      </w:r>
    </w:p>
    <w:p w14:paraId="6CA95AFF">
      <w:pPr>
        <w:spacing w:line="580" w:lineRule="exact"/>
        <w:ind w:firstLine="640"/>
        <w:jc w:val="both"/>
      </w:pPr>
      <w:r>
        <w:rPr>
          <w:rFonts w:ascii="仿宋_GB2312" w:hAnsi="仿宋_GB2312" w:eastAsia="仿宋_GB2312"/>
          <w:b w:val="0"/>
          <w:sz w:val="32"/>
        </w:rPr>
        <w:t>政府性基金预算财政拨款支出0.18万元。</w:t>
      </w:r>
    </w:p>
    <w:p w14:paraId="2D93BCB3">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1.其他支出(类)彩票公益金安排的支出(款)用于社会福利的彩票公益金支出(项):支出决算数为0.18万元，比上年决算增加0.18万元，增长100.00%,主要原因是：本年增加老年人医养结合经费。</w:t>
      </w:r>
    </w:p>
    <w:p w14:paraId="05EB45B0">
      <w:pPr>
        <w:spacing w:line="640" w:lineRule="exact"/>
        <w:ind w:firstLine="640"/>
        <w:jc w:val="both"/>
        <w:outlineLvl w:val="2"/>
      </w:pPr>
      <w:r>
        <w:rPr>
          <w:rFonts w:ascii="黑体" w:hAnsi="黑体" w:eastAsia="黑体"/>
          <w:sz w:val="32"/>
        </w:rPr>
        <w:t>八、国有资本经营预算财政拨款收入支出决算情况说明</w:t>
      </w:r>
    </w:p>
    <w:p w14:paraId="3751DA6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121A74E">
      <w:pPr>
        <w:spacing w:line="640" w:lineRule="exact"/>
        <w:ind w:firstLine="640"/>
        <w:jc w:val="both"/>
        <w:outlineLvl w:val="2"/>
      </w:pPr>
      <w:r>
        <w:rPr>
          <w:rFonts w:ascii="黑体" w:hAnsi="黑体" w:eastAsia="黑体"/>
          <w:sz w:val="32"/>
        </w:rPr>
        <w:t>九、财政拨款“三公”经费支出决算情况说明</w:t>
      </w:r>
    </w:p>
    <w:p w14:paraId="1B56245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4BE7450">
      <w:pPr>
        <w:spacing w:line="580" w:lineRule="exact"/>
        <w:ind w:firstLine="640"/>
        <w:jc w:val="both"/>
      </w:pPr>
      <w:r>
        <w:rPr>
          <w:rFonts w:ascii="仿宋_GB2312" w:hAnsi="仿宋_GB2312" w:eastAsia="仿宋_GB2312"/>
          <w:b/>
          <w:sz w:val="32"/>
        </w:rPr>
        <w:t>具体情况如下：</w:t>
      </w:r>
    </w:p>
    <w:p w14:paraId="4820A76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C206B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事业经费保障。</w:t>
      </w:r>
    </w:p>
    <w:p w14:paraId="2401917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0088DE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5E16466">
      <w:pPr>
        <w:spacing w:line="640" w:lineRule="exact"/>
        <w:ind w:firstLine="640"/>
        <w:jc w:val="both"/>
        <w:outlineLvl w:val="2"/>
      </w:pPr>
      <w:r>
        <w:rPr>
          <w:rFonts w:ascii="黑体" w:hAnsi="黑体" w:eastAsia="黑体"/>
          <w:sz w:val="32"/>
        </w:rPr>
        <w:t>十、其他重要事项的情况说明</w:t>
      </w:r>
    </w:p>
    <w:p w14:paraId="7D041718">
      <w:pPr>
        <w:spacing w:line="640" w:lineRule="exact"/>
        <w:ind w:firstLine="640"/>
        <w:jc w:val="both"/>
        <w:outlineLvl w:val="3"/>
      </w:pPr>
      <w:r>
        <w:rPr>
          <w:rFonts w:ascii="楷体_GB2312" w:hAnsi="楷体_GB2312" w:eastAsia="楷体_GB2312"/>
          <w:b/>
          <w:sz w:val="32"/>
        </w:rPr>
        <w:t>（一）机关运行经费及公用经费支出情况</w:t>
      </w:r>
    </w:p>
    <w:p w14:paraId="07EB77CF">
      <w:pPr>
        <w:spacing w:line="580" w:lineRule="exact"/>
        <w:ind w:firstLine="640"/>
        <w:jc w:val="both"/>
      </w:pPr>
      <w:r>
        <w:rPr>
          <w:rFonts w:ascii="仿宋_GB2312" w:hAnsi="仿宋_GB2312" w:eastAsia="仿宋_GB2312"/>
          <w:b w:val="0"/>
          <w:sz w:val="32"/>
        </w:rPr>
        <w:t>2024年度且末县英吾斯塘乡卫生院（事业单位）公用经费支出0.00万元，比上年增加0.00万元，增长0.00%，主要原因是：2023年与2024年均未安排公用经费支出。</w:t>
      </w:r>
    </w:p>
    <w:p w14:paraId="3E6E0754">
      <w:pPr>
        <w:spacing w:line="640" w:lineRule="exact"/>
        <w:ind w:firstLine="640"/>
        <w:jc w:val="both"/>
        <w:outlineLvl w:val="3"/>
      </w:pPr>
      <w:r>
        <w:rPr>
          <w:rFonts w:ascii="楷体_GB2312" w:hAnsi="楷体_GB2312" w:eastAsia="楷体_GB2312"/>
          <w:b/>
          <w:sz w:val="32"/>
        </w:rPr>
        <w:t>（二）政府采购情况</w:t>
      </w:r>
    </w:p>
    <w:p w14:paraId="1726FB00">
      <w:pPr>
        <w:spacing w:line="580" w:lineRule="exact"/>
        <w:ind w:firstLine="640"/>
        <w:jc w:val="both"/>
      </w:pPr>
      <w:r>
        <w:rPr>
          <w:rFonts w:ascii="仿宋_GB2312" w:hAnsi="仿宋_GB2312" w:eastAsia="仿宋_GB2312"/>
          <w:b w:val="0"/>
          <w:sz w:val="32"/>
        </w:rPr>
        <w:t>2024年度政府采购支出总额84.72万元，其中：政府采购货物支出1.33万元、政府采购工程支出0.00万元、政府采购服务支出83.39万元。</w:t>
      </w:r>
    </w:p>
    <w:p w14:paraId="6C4358F7">
      <w:pPr>
        <w:spacing w:line="580" w:lineRule="exact"/>
        <w:ind w:firstLine="640"/>
        <w:jc w:val="both"/>
      </w:pPr>
      <w:r>
        <w:rPr>
          <w:rFonts w:ascii="仿宋_GB2312" w:hAnsi="仿宋_GB2312" w:eastAsia="仿宋_GB2312"/>
          <w:b w:val="0"/>
          <w:sz w:val="32"/>
        </w:rPr>
        <w:t>授予中小企业合同金额8.82万元，占政府采购支出总额的10.41%，其中：授予小微企业合同金额4.15万元，占政府采购支出总额的4.90%。</w:t>
      </w:r>
    </w:p>
    <w:p w14:paraId="17E61075">
      <w:pPr>
        <w:spacing w:line="640" w:lineRule="exact"/>
        <w:ind w:firstLine="640"/>
        <w:jc w:val="both"/>
        <w:outlineLvl w:val="3"/>
      </w:pPr>
      <w:r>
        <w:rPr>
          <w:rFonts w:ascii="楷体_GB2312" w:hAnsi="楷体_GB2312" w:eastAsia="楷体_GB2312"/>
          <w:b/>
          <w:sz w:val="32"/>
        </w:rPr>
        <w:t>（三）国有资产占用情况说明</w:t>
      </w:r>
    </w:p>
    <w:p w14:paraId="56794CE8">
      <w:pPr>
        <w:spacing w:line="580" w:lineRule="exact"/>
        <w:ind w:firstLine="640"/>
        <w:jc w:val="both"/>
      </w:pPr>
      <w:r>
        <w:rPr>
          <w:rFonts w:ascii="仿宋_GB2312" w:hAnsi="仿宋_GB2312" w:eastAsia="仿宋_GB2312"/>
          <w:b w:val="0"/>
          <w:sz w:val="32"/>
        </w:rPr>
        <w:t>截至2024年12月31日，房屋932.76平方米，价值26.66万元。车辆1辆，价值7.76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7BF9FA9B">
      <w:pPr>
        <w:spacing w:line="640" w:lineRule="exact"/>
        <w:ind w:firstLine="640"/>
        <w:jc w:val="both"/>
        <w:outlineLvl w:val="2"/>
      </w:pPr>
      <w:r>
        <w:rPr>
          <w:rFonts w:ascii="黑体" w:hAnsi="黑体" w:eastAsia="黑体"/>
          <w:sz w:val="32"/>
        </w:rPr>
        <w:t>十一、预算绩效的情况说明</w:t>
      </w:r>
    </w:p>
    <w:p w14:paraId="00D00C9D">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155ECC52">
      <w:r>
        <w:br w:type="page"/>
      </w:r>
    </w:p>
    <w:p w14:paraId="343746B2">
      <w:pPr>
        <w:spacing w:line="640" w:lineRule="exact"/>
        <w:ind w:firstLine="640"/>
        <w:jc w:val="both"/>
        <w:outlineLvl w:val="2"/>
      </w:pPr>
      <w:r>
        <w:rPr>
          <w:rFonts w:ascii="黑体" w:hAnsi="黑体" w:eastAsia="黑体"/>
          <w:sz w:val="32"/>
        </w:rPr>
        <w:t>十二、其他需说明的事项</w:t>
      </w:r>
    </w:p>
    <w:p w14:paraId="5A728547">
      <w:pPr>
        <w:spacing w:line="580" w:lineRule="exact"/>
        <w:ind w:firstLine="640"/>
        <w:jc w:val="both"/>
      </w:pPr>
      <w:r>
        <w:rPr>
          <w:rFonts w:ascii="仿宋_GB2312" w:hAnsi="仿宋_GB2312" w:eastAsia="仿宋_GB2312"/>
          <w:b w:val="0"/>
          <w:sz w:val="32"/>
        </w:rPr>
        <w:t>本年度本单位整体绩效自评表由主管部门编报并公开。</w:t>
      </w:r>
    </w:p>
    <w:p w14:paraId="4801E00F">
      <w:r>
        <w:br w:type="page"/>
      </w:r>
    </w:p>
    <w:p w14:paraId="3711E2F4">
      <w:pPr>
        <w:spacing w:line="240" w:lineRule="auto"/>
        <w:jc w:val="center"/>
        <w:outlineLvl w:val="1"/>
      </w:pPr>
      <w:r>
        <w:rPr>
          <w:rFonts w:ascii="黑体" w:hAnsi="黑体" w:eastAsia="黑体"/>
          <w:sz w:val="32"/>
        </w:rPr>
        <w:t>第三部分 专业名词解释</w:t>
      </w:r>
    </w:p>
    <w:p w14:paraId="0DC693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671B8E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81C10B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54CE84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9B1D2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3977D3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1480D4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782FBD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0A2AE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BC11A7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807AF7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64D03F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EDB4D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469D86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65FB8F0">
      <w:r>
        <w:br w:type="page"/>
      </w:r>
    </w:p>
    <w:p w14:paraId="4DD75698">
      <w:pPr>
        <w:spacing w:line="240" w:lineRule="auto"/>
        <w:jc w:val="center"/>
        <w:outlineLvl w:val="1"/>
      </w:pPr>
      <w:r>
        <w:rPr>
          <w:rFonts w:ascii="黑体" w:hAnsi="黑体" w:eastAsia="黑体"/>
          <w:sz w:val="32"/>
        </w:rPr>
        <w:t>第四部分 部门决算报表（见附表）</w:t>
      </w:r>
    </w:p>
    <w:p w14:paraId="1C1D91E1">
      <w:pPr>
        <w:spacing w:line="240" w:lineRule="auto"/>
        <w:ind w:firstLine="640"/>
        <w:jc w:val="both"/>
      </w:pPr>
      <w:r>
        <w:rPr>
          <w:rFonts w:ascii="仿宋_GB2312" w:hAnsi="仿宋_GB2312" w:eastAsia="仿宋_GB2312"/>
          <w:b w:val="0"/>
          <w:sz w:val="32"/>
        </w:rPr>
        <w:t>一、《收入支出决算总表》</w:t>
      </w:r>
    </w:p>
    <w:p w14:paraId="68262581">
      <w:pPr>
        <w:spacing w:line="240" w:lineRule="auto"/>
        <w:ind w:firstLine="640"/>
        <w:jc w:val="both"/>
      </w:pPr>
      <w:r>
        <w:rPr>
          <w:rFonts w:ascii="仿宋_GB2312" w:hAnsi="仿宋_GB2312" w:eastAsia="仿宋_GB2312"/>
          <w:b w:val="0"/>
          <w:sz w:val="32"/>
        </w:rPr>
        <w:t>二、《收入决算表》</w:t>
      </w:r>
    </w:p>
    <w:p w14:paraId="2D9A4946">
      <w:pPr>
        <w:spacing w:line="240" w:lineRule="auto"/>
        <w:ind w:firstLine="640"/>
        <w:jc w:val="both"/>
      </w:pPr>
      <w:r>
        <w:rPr>
          <w:rFonts w:ascii="仿宋_GB2312" w:hAnsi="仿宋_GB2312" w:eastAsia="仿宋_GB2312"/>
          <w:b w:val="0"/>
          <w:sz w:val="32"/>
        </w:rPr>
        <w:t>三、《支出决算表》</w:t>
      </w:r>
    </w:p>
    <w:p w14:paraId="1C9B4A79">
      <w:pPr>
        <w:spacing w:line="240" w:lineRule="auto"/>
        <w:ind w:firstLine="640"/>
        <w:jc w:val="both"/>
      </w:pPr>
      <w:r>
        <w:rPr>
          <w:rFonts w:ascii="仿宋_GB2312" w:hAnsi="仿宋_GB2312" w:eastAsia="仿宋_GB2312"/>
          <w:b w:val="0"/>
          <w:sz w:val="32"/>
        </w:rPr>
        <w:t>四、《财政拨款收入支出决算总表》</w:t>
      </w:r>
    </w:p>
    <w:p w14:paraId="7B43F2EF">
      <w:pPr>
        <w:spacing w:line="240" w:lineRule="auto"/>
        <w:ind w:firstLine="640"/>
        <w:jc w:val="both"/>
      </w:pPr>
      <w:r>
        <w:rPr>
          <w:rFonts w:ascii="仿宋_GB2312" w:hAnsi="仿宋_GB2312" w:eastAsia="仿宋_GB2312"/>
          <w:b w:val="0"/>
          <w:sz w:val="32"/>
        </w:rPr>
        <w:t>五、《一般公共预算财政拨款支出决算表》</w:t>
      </w:r>
    </w:p>
    <w:p w14:paraId="1E797094">
      <w:pPr>
        <w:spacing w:line="240" w:lineRule="auto"/>
        <w:ind w:firstLine="640"/>
        <w:jc w:val="both"/>
      </w:pPr>
      <w:r>
        <w:rPr>
          <w:rFonts w:ascii="仿宋_GB2312" w:hAnsi="仿宋_GB2312" w:eastAsia="仿宋_GB2312"/>
          <w:b w:val="0"/>
          <w:sz w:val="32"/>
        </w:rPr>
        <w:t>六、《一般公共预算财政拨款基本支出决算表》</w:t>
      </w:r>
    </w:p>
    <w:p w14:paraId="6946FA0C">
      <w:pPr>
        <w:spacing w:line="240" w:lineRule="auto"/>
        <w:ind w:firstLine="640"/>
        <w:jc w:val="both"/>
      </w:pPr>
      <w:r>
        <w:rPr>
          <w:rFonts w:ascii="仿宋_GB2312" w:hAnsi="仿宋_GB2312" w:eastAsia="仿宋_GB2312"/>
          <w:b w:val="0"/>
          <w:sz w:val="32"/>
        </w:rPr>
        <w:t>七、《政府性基金预算财政拨款收入支出决算表》</w:t>
      </w:r>
    </w:p>
    <w:p w14:paraId="5017ED0B">
      <w:pPr>
        <w:spacing w:line="240" w:lineRule="auto"/>
        <w:ind w:firstLine="640"/>
        <w:jc w:val="both"/>
      </w:pPr>
      <w:r>
        <w:rPr>
          <w:rFonts w:ascii="仿宋_GB2312" w:hAnsi="仿宋_GB2312" w:eastAsia="仿宋_GB2312"/>
          <w:b w:val="0"/>
          <w:sz w:val="32"/>
        </w:rPr>
        <w:t>八、《国有资本经营预算财政拨款收入支出决算表》</w:t>
      </w:r>
    </w:p>
    <w:p w14:paraId="7738EDB4">
      <w:pPr>
        <w:spacing w:line="240" w:lineRule="auto"/>
        <w:ind w:firstLine="640"/>
        <w:jc w:val="both"/>
      </w:pPr>
      <w:r>
        <w:rPr>
          <w:rFonts w:ascii="仿宋_GB2312" w:hAnsi="仿宋_GB2312" w:eastAsia="仿宋_GB2312"/>
          <w:b w:val="0"/>
          <w:sz w:val="32"/>
        </w:rPr>
        <w:t>九、《财政拨款“三公”经费支出决算表》</w:t>
      </w:r>
    </w:p>
    <w:p w14:paraId="2AC570CC">
      <w:pPr>
        <w:spacing w:line="240" w:lineRule="auto"/>
        <w:ind w:firstLine="640"/>
        <w:jc w:val="both"/>
      </w:pPr>
    </w:p>
    <w:p w14:paraId="7EB878D5">
      <w:pPr>
        <w:spacing w:line="240" w:lineRule="auto"/>
        <w:ind w:firstLine="640"/>
        <w:jc w:val="both"/>
      </w:pPr>
    </w:p>
    <w:p w14:paraId="2D49D9BE">
      <w:pPr>
        <w:spacing w:line="240" w:lineRule="auto"/>
        <w:ind w:firstLine="640"/>
        <w:jc w:val="both"/>
      </w:pPr>
    </w:p>
    <w:p w14:paraId="02427DF7">
      <w:pPr>
        <w:spacing w:line="240" w:lineRule="auto"/>
        <w:ind w:firstLine="640"/>
        <w:jc w:val="both"/>
      </w:pPr>
    </w:p>
    <w:p w14:paraId="408FE1F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8071FA-DC4B-44FB-8C14-DFC7DF9DB0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D548E0D-4B7A-4CA9-98AB-7DAD29224CEB}"/>
  </w:font>
  <w:font w:name="仿宋_GB2312">
    <w:panose1 w:val="02010609030101010101"/>
    <w:charset w:val="86"/>
    <w:family w:val="modern"/>
    <w:pitch w:val="default"/>
    <w:sig w:usb0="00000001" w:usb1="080E0000" w:usb2="00000000" w:usb3="00000000" w:csb0="00040000" w:csb1="00000000"/>
    <w:embedRegular r:id="rId3" w:fontKey="{92FCACFB-0E30-4A9D-8C82-718D1F6B5483}"/>
  </w:font>
  <w:font w:name="楷体_GB2312">
    <w:panose1 w:val="02010609030101010101"/>
    <w:charset w:val="86"/>
    <w:family w:val="auto"/>
    <w:pitch w:val="default"/>
    <w:sig w:usb0="00000001" w:usb1="080E0000" w:usb2="00000000" w:usb3="00000000" w:csb0="00040000" w:csb1="00000000"/>
    <w:embedRegular r:id="rId4" w:fontKey="{DCB855A5-1208-4990-9549-59A02338C0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1C7F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FBA07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5514</Words>
  <Characters>6261</Characters>
  <Lines>0</Lines>
  <Paragraphs>0</Paragraphs>
  <TotalTime>3</TotalTime>
  <ScaleCrop>false</ScaleCrop>
  <LinksUpToDate>false</LinksUpToDate>
  <CharactersWithSpaces>6271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2025-09-26T11:00:39Z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