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F05C1">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E9DDC0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275FCA99">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2BA31DBA">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D14586A">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16C0E8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且末县疾病预防控制中心2024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7D8009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1DF4D08">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16C8B3EF">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1E42326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02CB68A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6C9C6C74">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50623C4E">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44A1AEBD">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684234D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7580E4C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909B1A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6EA1DCB7">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29DD81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615B8C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59686C61">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5DDD0CC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0F0DCC7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63DD210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1A37911D">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843F752">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08E6EB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3FA9BA96">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535771F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CFD3CE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261DEF9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65E2A04">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65F9B7E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2BA7A231">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68D651FD">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0DBF455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6DC62AB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413F39F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12B1CEDE">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39910381">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0621124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2F217DD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1DC4218">
      <w:r>
        <w:br w:type="page"/>
      </w:r>
    </w:p>
    <w:p w14:paraId="79D8F3D1">
      <w:pPr>
        <w:spacing w:line="640" w:lineRule="exact"/>
        <w:jc w:val="center"/>
        <w:outlineLvl w:val="1"/>
      </w:pPr>
      <w:r>
        <w:rPr>
          <w:rFonts w:ascii="黑体" w:hAnsi="黑体" w:eastAsia="黑体"/>
          <w:sz w:val="32"/>
        </w:rPr>
        <w:t>第一部分 单位概况</w:t>
      </w:r>
    </w:p>
    <w:p w14:paraId="71A7B0C7">
      <w:pPr>
        <w:spacing w:line="640" w:lineRule="exact"/>
        <w:ind w:firstLine="640"/>
        <w:jc w:val="both"/>
        <w:outlineLvl w:val="2"/>
      </w:pPr>
      <w:r>
        <w:rPr>
          <w:rFonts w:ascii="黑体" w:hAnsi="黑体" w:eastAsia="黑体"/>
          <w:sz w:val="32"/>
        </w:rPr>
        <w:t>一、主要职能</w:t>
      </w:r>
    </w:p>
    <w:p w14:paraId="254B94DA">
      <w:pPr>
        <w:spacing w:line="580" w:lineRule="exact"/>
        <w:ind w:firstLine="640"/>
        <w:jc w:val="both"/>
      </w:pPr>
      <w:r>
        <w:rPr>
          <w:rFonts w:ascii="仿宋_GB2312" w:hAnsi="仿宋_GB2312" w:eastAsia="仿宋_GB2312"/>
          <w:sz w:val="32"/>
        </w:rPr>
        <w:t>且末县疾病预防控制中心承担的主要工作任务：为人民身体健康提供防疫保障、疾病监测、疾病防治研究、疾病预防接种与控制、突发</w:t>
      </w:r>
      <w:r>
        <w:rPr>
          <w:rFonts w:hint="eastAsia" w:ascii="仿宋_GB2312" w:hAnsi="仿宋_GB2312" w:eastAsia="仿宋_GB2312"/>
          <w:sz w:val="32"/>
          <w:lang w:val="en-US" w:eastAsia="zh-CN"/>
        </w:rPr>
        <w:t>公共</w:t>
      </w:r>
      <w:r>
        <w:rPr>
          <w:rFonts w:ascii="仿宋_GB2312" w:hAnsi="仿宋_GB2312" w:eastAsia="仿宋_GB2312"/>
          <w:sz w:val="32"/>
        </w:rPr>
        <w:t>卫生事件处理，卫生宣传与健康教育，卫生防病培训与技术指导。</w:t>
      </w:r>
    </w:p>
    <w:p w14:paraId="7DAB8B6B">
      <w:pPr>
        <w:spacing w:line="640" w:lineRule="exact"/>
        <w:ind w:firstLine="640"/>
        <w:jc w:val="both"/>
        <w:outlineLvl w:val="2"/>
      </w:pPr>
      <w:r>
        <w:rPr>
          <w:rFonts w:ascii="黑体" w:hAnsi="黑体" w:eastAsia="黑体"/>
          <w:sz w:val="32"/>
        </w:rPr>
        <w:t>二、机构设置及人员情况</w:t>
      </w:r>
    </w:p>
    <w:p w14:paraId="58F68C8D">
      <w:pPr>
        <w:spacing w:line="580" w:lineRule="exact"/>
        <w:ind w:firstLine="640"/>
        <w:jc w:val="both"/>
      </w:pPr>
      <w:r>
        <w:rPr>
          <w:rFonts w:ascii="仿宋_GB2312" w:hAnsi="仿宋_GB2312" w:eastAsia="仿宋_GB2312"/>
          <w:sz w:val="32"/>
        </w:rPr>
        <w:t>且末县疾病预防控制中心2024年度，实有人数54人，其中：在职人员28人，增加5人；离休人员0人，增加0人；退休人员26人,增加3人。</w:t>
      </w:r>
    </w:p>
    <w:p w14:paraId="58F32ABB">
      <w:pPr>
        <w:spacing w:line="580" w:lineRule="exact"/>
        <w:ind w:firstLine="640"/>
        <w:jc w:val="both"/>
      </w:pPr>
      <w:r>
        <w:rPr>
          <w:rFonts w:ascii="仿宋_GB2312" w:hAnsi="仿宋_GB2312" w:eastAsia="仿宋_GB2312"/>
          <w:sz w:val="32"/>
        </w:rPr>
        <w:t>单位无下属预算单位，下设5个科室，分别是：办公室、地方病防治科、结核病防治科、防疫科、检验科。</w:t>
      </w:r>
    </w:p>
    <w:p w14:paraId="7CD7E7BA">
      <w:r>
        <w:br w:type="page"/>
      </w:r>
    </w:p>
    <w:p w14:paraId="7F10BE4F">
      <w:pPr>
        <w:spacing w:line="240" w:lineRule="auto"/>
        <w:jc w:val="center"/>
        <w:outlineLvl w:val="1"/>
      </w:pPr>
      <w:r>
        <w:rPr>
          <w:rFonts w:ascii="黑体" w:hAnsi="黑体" w:eastAsia="黑体"/>
          <w:sz w:val="32"/>
        </w:rPr>
        <w:t>第二部分 部门决算情况说明</w:t>
      </w:r>
    </w:p>
    <w:p w14:paraId="005709BA">
      <w:pPr>
        <w:spacing w:line="640" w:lineRule="exact"/>
        <w:ind w:firstLine="640"/>
        <w:jc w:val="both"/>
        <w:outlineLvl w:val="2"/>
      </w:pPr>
      <w:r>
        <w:rPr>
          <w:rFonts w:ascii="黑体" w:hAnsi="黑体" w:eastAsia="黑体"/>
          <w:sz w:val="32"/>
        </w:rPr>
        <w:t>一、收入支出决算总体情况说明</w:t>
      </w:r>
    </w:p>
    <w:p w14:paraId="339D65FB">
      <w:pPr>
        <w:spacing w:line="580" w:lineRule="exact"/>
        <w:ind w:firstLine="640"/>
        <w:jc w:val="both"/>
      </w:pPr>
      <w:r>
        <w:rPr>
          <w:rFonts w:ascii="仿宋_GB2312" w:hAnsi="仿宋_GB2312" w:eastAsia="仿宋_GB2312"/>
          <w:b/>
          <w:sz w:val="32"/>
        </w:rPr>
        <w:t>2024年度收入总计621.66万元，</w:t>
      </w:r>
      <w:r>
        <w:rPr>
          <w:rFonts w:ascii="仿宋_GB2312" w:hAnsi="仿宋_GB2312" w:eastAsia="仿宋_GB2312"/>
          <w:b w:val="0"/>
          <w:sz w:val="32"/>
        </w:rPr>
        <w:t>其中：本年收入合计618.34万元，使用非财政拨款结余（含专用结余）0.00万元，年初结转和结余3.32万元。</w:t>
      </w:r>
    </w:p>
    <w:p w14:paraId="520CBD2B">
      <w:pPr>
        <w:spacing w:line="580" w:lineRule="exact"/>
        <w:ind w:firstLine="640"/>
        <w:jc w:val="both"/>
      </w:pPr>
      <w:r>
        <w:rPr>
          <w:rFonts w:ascii="仿宋_GB2312" w:hAnsi="仿宋_GB2312" w:eastAsia="仿宋_GB2312"/>
          <w:b/>
          <w:sz w:val="32"/>
        </w:rPr>
        <w:t>2024年度支出总计621.66万元，</w:t>
      </w:r>
      <w:r>
        <w:rPr>
          <w:rFonts w:ascii="仿宋_GB2312" w:hAnsi="仿宋_GB2312" w:eastAsia="仿宋_GB2312"/>
          <w:b w:val="0"/>
          <w:sz w:val="32"/>
        </w:rPr>
        <w:t>其中：本年支出合计613.89万元，结余分配0.00万元，年末结转和结余7.78万元。</w:t>
      </w:r>
    </w:p>
    <w:p w14:paraId="44C3E1DF">
      <w:pPr>
        <w:spacing w:line="580" w:lineRule="exact"/>
        <w:ind w:firstLine="640"/>
        <w:jc w:val="both"/>
      </w:pPr>
      <w:r>
        <w:rPr>
          <w:rFonts w:ascii="仿宋_GB2312" w:hAnsi="仿宋_GB2312" w:eastAsia="仿宋_GB2312"/>
          <w:b w:val="0"/>
          <w:sz w:val="32"/>
        </w:rPr>
        <w:t>收入支出总体与上年相比，减少83.25万元，下降11.81%，主要原因是：2024年的重大传染病防治补助经费较上年减少。</w:t>
      </w:r>
    </w:p>
    <w:p w14:paraId="3B1AF308">
      <w:pPr>
        <w:spacing w:line="640" w:lineRule="exact"/>
        <w:ind w:firstLine="640"/>
        <w:jc w:val="both"/>
        <w:outlineLvl w:val="2"/>
      </w:pPr>
      <w:r>
        <w:rPr>
          <w:rFonts w:ascii="黑体" w:hAnsi="黑体" w:eastAsia="黑体"/>
          <w:sz w:val="32"/>
        </w:rPr>
        <w:t>二、收入决算情况说明</w:t>
      </w:r>
    </w:p>
    <w:p w14:paraId="585671CC">
      <w:pPr>
        <w:spacing w:line="580" w:lineRule="exact"/>
        <w:ind w:firstLine="640"/>
        <w:jc w:val="both"/>
      </w:pPr>
      <w:r>
        <w:rPr>
          <w:rFonts w:ascii="仿宋_GB2312" w:hAnsi="仿宋_GB2312" w:eastAsia="仿宋_GB2312"/>
          <w:b/>
          <w:sz w:val="32"/>
        </w:rPr>
        <w:t>本年收入618.34万元，</w:t>
      </w:r>
      <w:r>
        <w:rPr>
          <w:rFonts w:ascii="仿宋_GB2312" w:hAnsi="仿宋_GB2312" w:eastAsia="仿宋_GB2312"/>
          <w:b w:val="0"/>
          <w:sz w:val="32"/>
        </w:rPr>
        <w:t>其中：财政拨款收入601.33万元，占97.25%；上级补助收入0.00万元，占0.00%；事业收入0.00万元，占0.00%；经营收入0.00万元，占0.00%；附属单位上缴收入0.00万元，占0.00%；其他收入17.01万元，占2.75%。</w:t>
      </w:r>
    </w:p>
    <w:p w14:paraId="1B8673C3">
      <w:pPr>
        <w:spacing w:line="640" w:lineRule="exact"/>
        <w:ind w:firstLine="640"/>
        <w:jc w:val="both"/>
        <w:outlineLvl w:val="2"/>
      </w:pPr>
      <w:r>
        <w:rPr>
          <w:rFonts w:ascii="黑体" w:hAnsi="黑体" w:eastAsia="黑体"/>
          <w:sz w:val="32"/>
        </w:rPr>
        <w:t>三、支出决算情况说明</w:t>
      </w:r>
    </w:p>
    <w:p w14:paraId="79CC9AD8">
      <w:pPr>
        <w:spacing w:line="580" w:lineRule="exact"/>
        <w:ind w:firstLine="640"/>
        <w:jc w:val="both"/>
      </w:pPr>
      <w:r>
        <w:rPr>
          <w:rFonts w:ascii="仿宋_GB2312" w:hAnsi="仿宋_GB2312" w:eastAsia="仿宋_GB2312"/>
          <w:b/>
          <w:sz w:val="32"/>
        </w:rPr>
        <w:t>本年支出613.89万元，</w:t>
      </w:r>
      <w:r>
        <w:rPr>
          <w:rFonts w:ascii="仿宋_GB2312" w:hAnsi="仿宋_GB2312" w:eastAsia="仿宋_GB2312"/>
          <w:b w:val="0"/>
          <w:sz w:val="32"/>
        </w:rPr>
        <w:t>其中：基本支出454.27万元，占74.00%；项目支出159.61万元，占26.00%；上缴上级支出0.00万元，占0.00%；经营支出0.00万元，占0.00%；对附属单位补助支出0.00万元，占0.00%。</w:t>
      </w:r>
    </w:p>
    <w:p w14:paraId="22C97A9B">
      <w:pPr>
        <w:spacing w:line="640" w:lineRule="exact"/>
        <w:ind w:firstLine="640"/>
        <w:jc w:val="both"/>
        <w:outlineLvl w:val="2"/>
      </w:pPr>
      <w:r>
        <w:rPr>
          <w:rFonts w:ascii="黑体" w:hAnsi="黑体" w:eastAsia="黑体"/>
          <w:sz w:val="32"/>
        </w:rPr>
        <w:t>四、财政拨款收入支出决算总体情况说明</w:t>
      </w:r>
    </w:p>
    <w:p w14:paraId="07CE741A">
      <w:pPr>
        <w:spacing w:line="580" w:lineRule="exact"/>
        <w:ind w:firstLine="640"/>
        <w:jc w:val="both"/>
      </w:pPr>
      <w:r>
        <w:rPr>
          <w:rFonts w:ascii="仿宋_GB2312" w:hAnsi="仿宋_GB2312" w:eastAsia="仿宋_GB2312"/>
          <w:b/>
          <w:sz w:val="32"/>
        </w:rPr>
        <w:t>2024年度财政拨款收入总计601.33万元，</w:t>
      </w:r>
      <w:r>
        <w:rPr>
          <w:rFonts w:ascii="仿宋_GB2312" w:hAnsi="仿宋_GB2312" w:eastAsia="仿宋_GB2312"/>
          <w:b w:val="0"/>
          <w:sz w:val="32"/>
        </w:rPr>
        <w:t>其中：年初财政拨款结转和结余0.00万元，本年财政拨款收入601.33万元。</w:t>
      </w:r>
      <w:r>
        <w:rPr>
          <w:rFonts w:ascii="仿宋_GB2312" w:hAnsi="仿宋_GB2312" w:eastAsia="仿宋_GB2312"/>
          <w:b/>
          <w:sz w:val="32"/>
        </w:rPr>
        <w:t>财政拨款支出总计601.33万元，</w:t>
      </w:r>
      <w:r>
        <w:rPr>
          <w:rFonts w:ascii="仿宋_GB2312" w:hAnsi="仿宋_GB2312" w:eastAsia="仿宋_GB2312"/>
          <w:b w:val="0"/>
          <w:sz w:val="32"/>
        </w:rPr>
        <w:t>其中：年末财政拨款结转和结余0.00万元，本年财政拨款支出601.33万元。</w:t>
      </w:r>
    </w:p>
    <w:p w14:paraId="687ED26B">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减少78.66万元，下降11.57%，主要原因是：2024年的重大传染病防治补助经费较上年减少。</w:t>
      </w:r>
      <w:r>
        <w:rPr>
          <w:rFonts w:ascii="仿宋_GB2312" w:hAnsi="仿宋_GB2312" w:eastAsia="仿宋_GB2312"/>
          <w:b/>
          <w:sz w:val="32"/>
        </w:rPr>
        <w:t>与年初预算相比，</w:t>
      </w:r>
      <w:r>
        <w:rPr>
          <w:rFonts w:ascii="仿宋_GB2312" w:hAnsi="仿宋_GB2312" w:eastAsia="仿宋_GB2312"/>
          <w:b w:val="0"/>
          <w:sz w:val="32"/>
        </w:rPr>
        <w:t>年初预算数475.19万元，决算数601.33万元，预决算差异率26.55%，主要原因是：年中追加重大传染病防治经费和基本公共卫生项目资金。</w:t>
      </w:r>
    </w:p>
    <w:p w14:paraId="0E52BFDE">
      <w:pPr>
        <w:spacing w:line="640" w:lineRule="exact"/>
        <w:ind w:firstLine="640"/>
        <w:jc w:val="both"/>
        <w:outlineLvl w:val="2"/>
      </w:pPr>
      <w:r>
        <w:rPr>
          <w:rFonts w:ascii="黑体" w:hAnsi="黑体" w:eastAsia="黑体"/>
          <w:sz w:val="32"/>
        </w:rPr>
        <w:t>五、一般公共预算财政拨款支出决算情况说明</w:t>
      </w:r>
    </w:p>
    <w:p w14:paraId="6BF7907B">
      <w:pPr>
        <w:spacing w:line="640" w:lineRule="exact"/>
        <w:ind w:firstLine="640"/>
        <w:jc w:val="both"/>
        <w:outlineLvl w:val="3"/>
      </w:pPr>
      <w:r>
        <w:rPr>
          <w:rFonts w:ascii="楷体_GB2312" w:hAnsi="楷体_GB2312" w:eastAsia="楷体_GB2312"/>
          <w:b/>
          <w:sz w:val="32"/>
        </w:rPr>
        <w:t>（一）一般公共预算财政拨款支出决算总体情况</w:t>
      </w:r>
    </w:p>
    <w:p w14:paraId="07F25F97">
      <w:pPr>
        <w:spacing w:line="580" w:lineRule="exact"/>
        <w:ind w:firstLine="640"/>
        <w:jc w:val="both"/>
      </w:pPr>
      <w:r>
        <w:rPr>
          <w:rFonts w:ascii="仿宋_GB2312" w:hAnsi="仿宋_GB2312" w:eastAsia="仿宋_GB2312"/>
          <w:b/>
          <w:sz w:val="32"/>
        </w:rPr>
        <w:t>2024年度一般公共预算财政拨款支出601.33万元，</w:t>
      </w:r>
      <w:r>
        <w:rPr>
          <w:rFonts w:ascii="仿宋_GB2312" w:hAnsi="仿宋_GB2312" w:eastAsia="仿宋_GB2312"/>
          <w:b w:val="0"/>
          <w:sz w:val="32"/>
        </w:rPr>
        <w:t>占本年支出合计的97.95%。</w:t>
      </w:r>
      <w:r>
        <w:rPr>
          <w:rFonts w:ascii="仿宋_GB2312" w:hAnsi="仿宋_GB2312" w:eastAsia="仿宋_GB2312"/>
          <w:b/>
          <w:sz w:val="32"/>
        </w:rPr>
        <w:t>与上年相比，</w:t>
      </w:r>
      <w:r>
        <w:rPr>
          <w:rFonts w:ascii="仿宋_GB2312" w:hAnsi="仿宋_GB2312" w:eastAsia="仿宋_GB2312"/>
          <w:b w:val="0"/>
          <w:sz w:val="32"/>
        </w:rPr>
        <w:t>减少78.66万元，下降11.57%，主要原因是：2024年的重大传染病防治补助经费较上年减少。</w:t>
      </w:r>
      <w:r>
        <w:rPr>
          <w:rFonts w:ascii="仿宋_GB2312" w:hAnsi="仿宋_GB2312" w:eastAsia="仿宋_GB2312"/>
          <w:b/>
          <w:sz w:val="32"/>
        </w:rPr>
        <w:t>与年初预算相比,</w:t>
      </w:r>
      <w:r>
        <w:rPr>
          <w:rFonts w:ascii="仿宋_GB2312" w:hAnsi="仿宋_GB2312" w:eastAsia="仿宋_GB2312"/>
          <w:b w:val="0"/>
          <w:sz w:val="32"/>
        </w:rPr>
        <w:t>年初预算数475.19万元，决算数601.33万元，预决算差异率26.55%，主要原因是：年中追加重大传染病防治经费和基本公共卫生项目资金。</w:t>
      </w:r>
    </w:p>
    <w:p w14:paraId="6307AA51">
      <w:pPr>
        <w:spacing w:line="640" w:lineRule="exact"/>
        <w:ind w:firstLine="640"/>
        <w:jc w:val="both"/>
        <w:outlineLvl w:val="3"/>
      </w:pPr>
      <w:r>
        <w:rPr>
          <w:rFonts w:ascii="楷体_GB2312" w:hAnsi="楷体_GB2312" w:eastAsia="楷体_GB2312"/>
          <w:b/>
          <w:sz w:val="32"/>
        </w:rPr>
        <w:t>（二）一般公共预算财政拨款支出决算结构情况</w:t>
      </w:r>
    </w:p>
    <w:p w14:paraId="13885AE6">
      <w:pPr>
        <w:spacing w:line="580" w:lineRule="exact"/>
        <w:ind w:firstLine="640"/>
        <w:jc w:val="both"/>
      </w:pPr>
      <w:r>
        <w:rPr>
          <w:rFonts w:ascii="仿宋_GB2312" w:hAnsi="仿宋_GB2312" w:eastAsia="仿宋_GB2312"/>
          <w:b w:val="0"/>
          <w:sz w:val="32"/>
        </w:rPr>
        <w:t>1.社会保障和就业支出(类)68.53万元,占11.40%。</w:t>
      </w:r>
    </w:p>
    <w:p w14:paraId="25EB68E0">
      <w:pPr>
        <w:spacing w:line="580" w:lineRule="exact"/>
        <w:ind w:firstLine="640"/>
        <w:jc w:val="both"/>
      </w:pPr>
      <w:r>
        <w:rPr>
          <w:rFonts w:ascii="仿宋_GB2312" w:hAnsi="仿宋_GB2312" w:eastAsia="仿宋_GB2312"/>
          <w:b w:val="0"/>
          <w:sz w:val="32"/>
        </w:rPr>
        <w:t>2.卫生健康支出(类)497.67万元,占82.76%。</w:t>
      </w:r>
    </w:p>
    <w:p w14:paraId="7BCA0863">
      <w:pPr>
        <w:spacing w:line="580" w:lineRule="exact"/>
        <w:ind w:firstLine="640"/>
        <w:jc w:val="both"/>
      </w:pPr>
      <w:r>
        <w:rPr>
          <w:rFonts w:ascii="仿宋_GB2312" w:hAnsi="仿宋_GB2312" w:eastAsia="仿宋_GB2312"/>
          <w:b w:val="0"/>
          <w:sz w:val="32"/>
        </w:rPr>
        <w:t>3.住房保障支出(类)35.14万元,占5.84%。</w:t>
      </w:r>
    </w:p>
    <w:p w14:paraId="4B766D41">
      <w:pPr>
        <w:spacing w:line="640" w:lineRule="exact"/>
        <w:ind w:firstLine="640"/>
        <w:jc w:val="both"/>
        <w:outlineLvl w:val="3"/>
      </w:pPr>
      <w:r>
        <w:rPr>
          <w:rFonts w:ascii="楷体_GB2312" w:hAnsi="楷体_GB2312" w:eastAsia="楷体_GB2312"/>
          <w:b/>
          <w:sz w:val="32"/>
        </w:rPr>
        <w:t>（三）一般公共预算财政拨款支出决算具体情况</w:t>
      </w:r>
    </w:p>
    <w:p w14:paraId="54E77C6A">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1.社会保障和就业支出(类)行政事业单位养老支出(款)事业单位离退休(项):支出决算数为18.13万元，比上年决算增加5.37万元，增长42.08%,主要原因是：退休人员增加，退休费支出增加。</w:t>
      </w:r>
    </w:p>
    <w:p w14:paraId="7D874AA0">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2.社会保障和就业支出(类)行政事业单位养老支出(款)机关事业单位基本养老保险缴费支出(项):支出决算数为43.58万元，比上年决算增加6.45万元，增长17.37%,主要原因是：在职人员增加，养老保险缴费增加。</w:t>
      </w:r>
    </w:p>
    <w:p w14:paraId="79F6656A">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3.社会保障和就业支出(类)行政事业单位养老支出(款)机关事业单位职业年金缴费支出(项):支出决算数为6.81万元，比上年决算增加6.81万元，增长100.00%,主要原因是：2024年新增退休人员，职业年金缴费支出增加。</w:t>
      </w:r>
    </w:p>
    <w:p w14:paraId="7241B781">
      <w:pPr>
        <w:spacing w:line="580" w:lineRule="exact"/>
        <w:ind w:firstLine="640"/>
        <w:jc w:val="both"/>
      </w:pPr>
      <w:r>
        <w:rPr>
          <w:rFonts w:ascii="仿宋_GB2312" w:hAnsi="仿宋_GB2312" w:eastAsia="仿宋_GB2312"/>
          <w:b w:val="0"/>
          <w:sz w:val="32"/>
        </w:rPr>
        <w:t>4.社会保障和就业支出(类)就业补助(款)其他就业补助支出(项):支出决算数为0.00万元，比上年决算减少39.53万元，下降100.00%,主要原因是：科目调整，减少事业岗人员经费。</w:t>
      </w:r>
    </w:p>
    <w:p w14:paraId="17E85FE8">
      <w:pPr>
        <w:spacing w:line="580" w:lineRule="exact"/>
        <w:ind w:firstLine="640"/>
        <w:jc w:val="both"/>
      </w:pPr>
      <w:r>
        <w:rPr>
          <w:rFonts w:ascii="仿宋_GB2312" w:hAnsi="仿宋_GB2312" w:eastAsia="仿宋_GB2312"/>
          <w:b w:val="0"/>
          <w:sz w:val="32"/>
        </w:rPr>
        <w:t>5.卫生健康支出(类)公共卫生(款)疾病预防控制机构(项):支出决算数为317.80万元，比上年决算减少28.52万元，下降8.24%,主要原因是：2024年无补发绩效。</w:t>
      </w:r>
    </w:p>
    <w:p w14:paraId="3AAC3C88">
      <w:pPr>
        <w:spacing w:line="580" w:lineRule="exact"/>
        <w:ind w:firstLine="640"/>
        <w:jc w:val="both"/>
      </w:pPr>
      <w:r>
        <w:rPr>
          <w:rFonts w:ascii="仿宋_GB2312" w:hAnsi="仿宋_GB2312" w:eastAsia="仿宋_GB2312"/>
          <w:b w:val="0"/>
          <w:sz w:val="32"/>
        </w:rPr>
        <w:t>6.卫生健康支出(类)公共卫生(款)基本公共卫生服务(项):支出决算数为28.13万元，比上年决算减少1.87万元，下降6.23%,主要原因是：2024年的基本公共卫生经费较上年减少。</w:t>
      </w:r>
    </w:p>
    <w:p w14:paraId="1FAA4544">
      <w:pPr>
        <w:spacing w:line="580" w:lineRule="exact"/>
        <w:ind w:firstLine="640"/>
        <w:jc w:val="both"/>
      </w:pPr>
      <w:r>
        <w:rPr>
          <w:rFonts w:ascii="仿宋_GB2312" w:hAnsi="仿宋_GB2312" w:eastAsia="仿宋_GB2312"/>
          <w:b w:val="0"/>
          <w:sz w:val="32"/>
        </w:rPr>
        <w:t>7.卫生健康支出(类)公共卫生(款)重大公共卫生服务(项):支出决算数为131.48万元，比上年决算减少32.44万元，下降19.79%,主要原因是：2024年重大传染病防控经费较上年减少。</w:t>
      </w:r>
    </w:p>
    <w:p w14:paraId="06F99ED7">
      <w:pPr>
        <w:spacing w:line="580" w:lineRule="exact"/>
        <w:ind w:firstLine="640"/>
        <w:jc w:val="both"/>
      </w:pPr>
      <w:r>
        <w:rPr>
          <w:rFonts w:ascii="仿宋_GB2312" w:hAnsi="仿宋_GB2312" w:eastAsia="仿宋_GB2312"/>
          <w:b w:val="0"/>
          <w:sz w:val="32"/>
        </w:rPr>
        <w:t>8.卫生健康支出(类)行政事业单位医疗(款)事业单位医疗(项):支出决算数为20.26万元，比上年决算增加2.92万元，增长16.84%,主要原因是：本年在职人员增加，事业单位医疗支出较上年增加。</w:t>
      </w:r>
    </w:p>
    <w:p w14:paraId="1E3C7105">
      <w:pPr>
        <w:spacing w:line="580" w:lineRule="exact"/>
        <w:ind w:firstLine="640"/>
        <w:jc w:val="both"/>
      </w:pPr>
      <w:r>
        <w:rPr>
          <w:rFonts w:ascii="仿宋_GB2312" w:hAnsi="仿宋_GB2312" w:eastAsia="仿宋_GB2312"/>
          <w:b w:val="0"/>
          <w:sz w:val="32"/>
        </w:rPr>
        <w:t>9.住房保障支出(类)住房改革支出(款)住房公积金(项):支出决算数为35.14万元，比上年决算增加6.59万元，增长23.08%,主要原因是：本年在职人员增加，住房公积金支出较上年增加。</w:t>
      </w:r>
    </w:p>
    <w:p w14:paraId="14EED653">
      <w:pPr>
        <w:spacing w:line="580" w:lineRule="exact"/>
        <w:ind w:firstLine="640"/>
        <w:jc w:val="both"/>
      </w:pPr>
      <w:r>
        <w:rPr>
          <w:rFonts w:ascii="仿宋_GB2312" w:hAnsi="仿宋_GB2312" w:eastAsia="仿宋_GB2312"/>
          <w:b w:val="0"/>
          <w:sz w:val="32"/>
        </w:rPr>
        <w:t>10.其他支出(类)其他支出(款)其他支出(项):支出决算数为0.00万元，比上年决算减少4.45万元，下降100.00%,主要原因是：2024年度减少为民办事工作队经费。</w:t>
      </w:r>
    </w:p>
    <w:p w14:paraId="69396499">
      <w:pPr>
        <w:spacing w:line="640" w:lineRule="exact"/>
        <w:ind w:firstLine="640"/>
        <w:jc w:val="both"/>
        <w:outlineLvl w:val="2"/>
      </w:pPr>
      <w:r>
        <w:rPr>
          <w:rFonts w:ascii="黑体" w:hAnsi="黑体" w:eastAsia="黑体"/>
          <w:sz w:val="32"/>
        </w:rPr>
        <w:t>六、一般公共预算财政拨款基本支出决算情况说明</w:t>
      </w:r>
    </w:p>
    <w:p w14:paraId="23BC0DE5">
      <w:pPr>
        <w:spacing w:line="580" w:lineRule="exact"/>
        <w:ind w:firstLine="640"/>
        <w:jc w:val="both"/>
      </w:pPr>
      <w:r>
        <w:rPr>
          <w:rFonts w:ascii="仿宋_GB2312" w:hAnsi="仿宋_GB2312" w:eastAsia="仿宋_GB2312"/>
          <w:b w:val="0"/>
          <w:sz w:val="32"/>
        </w:rPr>
        <w:t>2024年度一般公共预算财政拨款基本支出441.72万元，其中：</w:t>
      </w:r>
      <w:r>
        <w:rPr>
          <w:rFonts w:ascii="仿宋_GB2312" w:hAnsi="仿宋_GB2312" w:eastAsia="仿宋_GB2312"/>
          <w:b/>
          <w:sz w:val="32"/>
        </w:rPr>
        <w:t>人员经费440.21万元，</w:t>
      </w:r>
      <w:r>
        <w:rPr>
          <w:rFonts w:ascii="仿宋_GB2312" w:hAnsi="仿宋_GB2312" w:eastAsia="仿宋_GB2312"/>
          <w:b w:val="0"/>
          <w:sz w:val="32"/>
        </w:rPr>
        <w:t>包括：基本工资、津贴补贴、奖金、机关事业单位基本养老保险缴费、职业年金缴费、职工基本医疗保险缴费、其他社会保障缴费、住房公积金、退休费、抚恤金、生活补助、奖励金。</w:t>
      </w:r>
    </w:p>
    <w:p w14:paraId="4279D626">
      <w:pPr>
        <w:spacing w:line="580" w:lineRule="exact"/>
        <w:ind w:firstLine="640"/>
        <w:jc w:val="both"/>
      </w:pPr>
      <w:r>
        <w:rPr>
          <w:rFonts w:ascii="仿宋_GB2312" w:hAnsi="仿宋_GB2312" w:eastAsia="仿宋_GB2312"/>
          <w:b/>
          <w:sz w:val="32"/>
        </w:rPr>
        <w:t>公用经费1.51万元，</w:t>
      </w:r>
      <w:r>
        <w:rPr>
          <w:rFonts w:ascii="仿宋_GB2312" w:hAnsi="仿宋_GB2312" w:eastAsia="仿宋_GB2312"/>
          <w:b w:val="0"/>
          <w:sz w:val="32"/>
        </w:rPr>
        <w:t>包括：办公费、邮电费、差旅费、其他商品和服务支出。</w:t>
      </w:r>
    </w:p>
    <w:p w14:paraId="34A4F767">
      <w:pPr>
        <w:spacing w:line="640" w:lineRule="exact"/>
        <w:ind w:firstLine="640"/>
        <w:jc w:val="both"/>
        <w:outlineLvl w:val="2"/>
      </w:pPr>
      <w:r>
        <w:rPr>
          <w:rFonts w:ascii="黑体" w:hAnsi="黑体" w:eastAsia="黑体"/>
          <w:sz w:val="32"/>
        </w:rPr>
        <w:t>七、政府性基金预算财政拨款收入支出决算情况说明</w:t>
      </w:r>
    </w:p>
    <w:p w14:paraId="5AC7E26C">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7CF77B0F">
      <w:pPr>
        <w:spacing w:line="640" w:lineRule="exact"/>
        <w:ind w:firstLine="640"/>
        <w:jc w:val="both"/>
        <w:outlineLvl w:val="2"/>
      </w:pPr>
      <w:r>
        <w:rPr>
          <w:rFonts w:ascii="黑体" w:hAnsi="黑体" w:eastAsia="黑体"/>
          <w:sz w:val="32"/>
        </w:rPr>
        <w:t>八、国有资本经营预算财政拨款收入支出决算情况说明</w:t>
      </w:r>
    </w:p>
    <w:p w14:paraId="5DC2A660">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61A245F">
      <w:pPr>
        <w:spacing w:line="640" w:lineRule="exact"/>
        <w:ind w:firstLine="640"/>
        <w:jc w:val="both"/>
        <w:outlineLvl w:val="2"/>
      </w:pPr>
      <w:r>
        <w:rPr>
          <w:rFonts w:ascii="黑体" w:hAnsi="黑体" w:eastAsia="黑体"/>
          <w:sz w:val="32"/>
        </w:rPr>
        <w:t>九、财政拨款“三公”经费支出决算情况说明</w:t>
      </w:r>
    </w:p>
    <w:p w14:paraId="7350B49B">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44EA7241">
      <w:pPr>
        <w:spacing w:line="580" w:lineRule="exact"/>
        <w:ind w:firstLine="640"/>
        <w:jc w:val="both"/>
      </w:pPr>
      <w:r>
        <w:rPr>
          <w:rFonts w:ascii="仿宋_GB2312" w:hAnsi="仿宋_GB2312" w:eastAsia="仿宋_GB2312"/>
          <w:b/>
          <w:sz w:val="32"/>
        </w:rPr>
        <w:t>具体情况如下：</w:t>
      </w:r>
    </w:p>
    <w:p w14:paraId="10D29787">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466132E">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4辆，与公务用车保有量差异原因是：差异车辆为一般业务用车，预算未安排公务用车运行维护费。</w:t>
      </w:r>
    </w:p>
    <w:p w14:paraId="351B5891">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6E3BD9DE">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费全年预算数0.00万元，决算数0.00万元，预决算差异率0.00%，主要原因是：本单位无公务用车运行维护费。公务接待费全年预算数0.00万元，决算数0.00万元，预决算差异率0.00%，主要原因是：本单位无公务接待费。</w:t>
      </w:r>
    </w:p>
    <w:p w14:paraId="5E7E8A06">
      <w:pPr>
        <w:spacing w:line="640" w:lineRule="exact"/>
        <w:ind w:firstLine="640"/>
        <w:jc w:val="both"/>
        <w:outlineLvl w:val="2"/>
      </w:pPr>
      <w:r>
        <w:rPr>
          <w:rFonts w:ascii="黑体" w:hAnsi="黑体" w:eastAsia="黑体"/>
          <w:sz w:val="32"/>
        </w:rPr>
        <w:t>十、其他重要事项的情况说明</w:t>
      </w:r>
    </w:p>
    <w:p w14:paraId="5E4FBBB7">
      <w:pPr>
        <w:spacing w:line="640" w:lineRule="exact"/>
        <w:ind w:firstLine="640"/>
        <w:jc w:val="both"/>
        <w:outlineLvl w:val="3"/>
      </w:pPr>
      <w:r>
        <w:rPr>
          <w:rFonts w:ascii="楷体_GB2312" w:hAnsi="楷体_GB2312" w:eastAsia="楷体_GB2312"/>
          <w:b/>
          <w:sz w:val="32"/>
        </w:rPr>
        <w:t>（一）机关运行经费及公用经费支出情况</w:t>
      </w:r>
    </w:p>
    <w:p w14:paraId="181952A4">
      <w:pPr>
        <w:spacing w:line="580" w:lineRule="exact"/>
        <w:ind w:firstLine="640"/>
        <w:jc w:val="both"/>
      </w:pPr>
      <w:r>
        <w:rPr>
          <w:rFonts w:ascii="仿宋_GB2312" w:hAnsi="仿宋_GB2312" w:eastAsia="仿宋_GB2312"/>
          <w:b w:val="0"/>
          <w:sz w:val="32"/>
        </w:rPr>
        <w:t>2024年度且末县疾病预防控制中心（事业单位）公用经费支出1.51万元，比上年增加1.51万元，增长100.00%，主要原因是：2023年财政未拨付公用经费，2024年度安排公用经费支出。</w:t>
      </w:r>
    </w:p>
    <w:p w14:paraId="5A8A7131">
      <w:pPr>
        <w:spacing w:line="640" w:lineRule="exact"/>
        <w:ind w:firstLine="640"/>
        <w:jc w:val="both"/>
        <w:outlineLvl w:val="3"/>
      </w:pPr>
      <w:r>
        <w:rPr>
          <w:rFonts w:ascii="楷体_GB2312" w:hAnsi="楷体_GB2312" w:eastAsia="楷体_GB2312"/>
          <w:b/>
          <w:sz w:val="32"/>
        </w:rPr>
        <w:t>（二）政府采购情况</w:t>
      </w:r>
    </w:p>
    <w:p w14:paraId="0C9AAD45">
      <w:pPr>
        <w:spacing w:line="580" w:lineRule="exact"/>
        <w:ind w:firstLine="640"/>
        <w:jc w:val="both"/>
      </w:pPr>
      <w:r>
        <w:rPr>
          <w:rFonts w:ascii="仿宋_GB2312" w:hAnsi="仿宋_GB2312" w:eastAsia="仿宋_GB2312"/>
          <w:b w:val="0"/>
          <w:sz w:val="32"/>
        </w:rPr>
        <w:t>2024年度政府采购支出总额153.81万元，其中：政府采购货物支出30.82万元、政府采购工程支出0.00万元、政府采购服务支出122.99万元。</w:t>
      </w:r>
    </w:p>
    <w:p w14:paraId="41302B92">
      <w:pPr>
        <w:spacing w:line="580" w:lineRule="exact"/>
        <w:ind w:firstLine="640"/>
        <w:jc w:val="both"/>
      </w:pPr>
      <w:r>
        <w:rPr>
          <w:rFonts w:ascii="仿宋_GB2312" w:hAnsi="仿宋_GB2312" w:eastAsia="仿宋_GB2312"/>
          <w:b w:val="0"/>
          <w:sz w:val="32"/>
        </w:rPr>
        <w:t>授予中小企业合同金额153.03万元，占政府采购支出总额的99.49%，其中：授予小微企业合同金额149.39万元，占政府采购支出总额的97.13%。</w:t>
      </w:r>
    </w:p>
    <w:p w14:paraId="27DEF882">
      <w:pPr>
        <w:spacing w:line="640" w:lineRule="exact"/>
        <w:ind w:firstLine="640"/>
        <w:jc w:val="both"/>
        <w:outlineLvl w:val="3"/>
      </w:pPr>
      <w:r>
        <w:rPr>
          <w:rFonts w:ascii="楷体_GB2312" w:hAnsi="楷体_GB2312" w:eastAsia="楷体_GB2312"/>
          <w:b/>
          <w:sz w:val="32"/>
        </w:rPr>
        <w:t>（三）国有资产占用情况说明</w:t>
      </w:r>
    </w:p>
    <w:p w14:paraId="582C6313">
      <w:pPr>
        <w:spacing w:line="580" w:lineRule="exact"/>
        <w:ind w:firstLine="640"/>
        <w:jc w:val="both"/>
      </w:pPr>
      <w:r>
        <w:rPr>
          <w:rFonts w:ascii="仿宋_GB2312" w:hAnsi="仿宋_GB2312" w:eastAsia="仿宋_GB2312"/>
          <w:b w:val="0"/>
          <w:sz w:val="32"/>
        </w:rPr>
        <w:t>截至2024年12月31日，房屋756.39平方米，价值141.75万元。车辆4辆，价值75.56万元，其中：副部（省）级及以上领导用车0辆、主要负责人用车0辆、机要通信用车0辆、应急保障用车0辆、执法执勤用车0辆、特种专业技术用车2辆、离退休干部服务用车0辆、其他用车2辆，其他用车主要是：业务用车，下乡督导用车以及上山开展鼠防工作用车。单价100万元（含）以上设备（不含车辆）0台（套）。</w:t>
      </w:r>
    </w:p>
    <w:p w14:paraId="1E42C993">
      <w:pPr>
        <w:spacing w:line="640" w:lineRule="exact"/>
        <w:ind w:firstLine="640"/>
        <w:jc w:val="both"/>
        <w:outlineLvl w:val="2"/>
      </w:pPr>
      <w:r>
        <w:rPr>
          <w:rFonts w:ascii="黑体" w:hAnsi="黑体" w:eastAsia="黑体"/>
          <w:sz w:val="32"/>
        </w:rPr>
        <w:t>十一、预算绩效的情况说明</w:t>
      </w:r>
    </w:p>
    <w:p w14:paraId="622C87D2">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我单位无预算项目绩效。发现的问题及原因：2024年我单位无预算项目绩效。下一步改进措施：2024年我单位无预算项目绩效。</w:t>
      </w:r>
    </w:p>
    <w:p w14:paraId="1029CFE0">
      <w:r>
        <w:br w:type="page"/>
      </w:r>
    </w:p>
    <w:p w14:paraId="16C836CD">
      <w:pPr>
        <w:spacing w:line="640" w:lineRule="exact"/>
        <w:ind w:firstLine="640"/>
        <w:jc w:val="both"/>
        <w:outlineLvl w:val="2"/>
      </w:pPr>
      <w:r>
        <w:rPr>
          <w:rFonts w:ascii="黑体" w:hAnsi="黑体" w:eastAsia="黑体"/>
          <w:sz w:val="32"/>
        </w:rPr>
        <w:t>十二、其他需说明的事项</w:t>
      </w:r>
    </w:p>
    <w:p w14:paraId="42008227">
      <w:pPr>
        <w:spacing w:line="580" w:lineRule="exact"/>
        <w:ind w:firstLine="640"/>
        <w:jc w:val="both"/>
      </w:pPr>
      <w:bookmarkStart w:id="0" w:name="_GoBack"/>
      <w:bookmarkEnd w:id="0"/>
      <w:r>
        <w:rPr>
          <w:rFonts w:hint="eastAsia" w:ascii="仿宋_GB2312" w:hAnsi="仿宋_GB2312" w:eastAsia="仿宋_GB2312"/>
          <w:b w:val="0"/>
          <w:sz w:val="32"/>
        </w:rPr>
        <w:t>本年度本单位整体绩效自评表由主管部门编报并公开。</w:t>
      </w:r>
    </w:p>
    <w:p w14:paraId="30050046">
      <w:r>
        <w:br w:type="page"/>
      </w:r>
    </w:p>
    <w:p w14:paraId="4E0E1E90">
      <w:pPr>
        <w:spacing w:line="240" w:lineRule="auto"/>
        <w:jc w:val="center"/>
        <w:outlineLvl w:val="1"/>
      </w:pPr>
      <w:r>
        <w:rPr>
          <w:rFonts w:ascii="黑体" w:hAnsi="黑体" w:eastAsia="黑体"/>
          <w:sz w:val="32"/>
        </w:rPr>
        <w:t>第三部分 专业名词解释</w:t>
      </w:r>
    </w:p>
    <w:p w14:paraId="3B893D5A">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B264F9F">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84C5AB7">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82DD82C">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BB7272E">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E75FE10">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E4C9DAC">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B0F1E70">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DFB181E">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7460426">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C12CF01">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CBF2D7A">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1B627A0">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C461AA0">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F65426A">
      <w:r>
        <w:br w:type="page"/>
      </w:r>
    </w:p>
    <w:p w14:paraId="5EC05C67">
      <w:pPr>
        <w:spacing w:line="240" w:lineRule="auto"/>
        <w:jc w:val="center"/>
        <w:outlineLvl w:val="1"/>
      </w:pPr>
      <w:r>
        <w:rPr>
          <w:rFonts w:ascii="黑体" w:hAnsi="黑体" w:eastAsia="黑体"/>
          <w:sz w:val="32"/>
        </w:rPr>
        <w:t>第四部分 部门决算报表（见附表）</w:t>
      </w:r>
    </w:p>
    <w:p w14:paraId="63FC3DD8">
      <w:pPr>
        <w:spacing w:line="240" w:lineRule="auto"/>
        <w:ind w:firstLine="640"/>
        <w:jc w:val="both"/>
      </w:pPr>
      <w:r>
        <w:rPr>
          <w:rFonts w:ascii="仿宋_GB2312" w:hAnsi="仿宋_GB2312" w:eastAsia="仿宋_GB2312"/>
          <w:b w:val="0"/>
          <w:sz w:val="32"/>
        </w:rPr>
        <w:t>一、《收入支出决算总表》</w:t>
      </w:r>
    </w:p>
    <w:p w14:paraId="0BE37D1A">
      <w:pPr>
        <w:spacing w:line="240" w:lineRule="auto"/>
        <w:ind w:firstLine="640"/>
        <w:jc w:val="both"/>
      </w:pPr>
      <w:r>
        <w:rPr>
          <w:rFonts w:ascii="仿宋_GB2312" w:hAnsi="仿宋_GB2312" w:eastAsia="仿宋_GB2312"/>
          <w:b w:val="0"/>
          <w:sz w:val="32"/>
        </w:rPr>
        <w:t>二、《收入决算表》</w:t>
      </w:r>
    </w:p>
    <w:p w14:paraId="441DEBCE">
      <w:pPr>
        <w:spacing w:line="240" w:lineRule="auto"/>
        <w:ind w:firstLine="640"/>
        <w:jc w:val="both"/>
      </w:pPr>
      <w:r>
        <w:rPr>
          <w:rFonts w:ascii="仿宋_GB2312" w:hAnsi="仿宋_GB2312" w:eastAsia="仿宋_GB2312"/>
          <w:b w:val="0"/>
          <w:sz w:val="32"/>
        </w:rPr>
        <w:t>三、《支出决算表》</w:t>
      </w:r>
    </w:p>
    <w:p w14:paraId="37266300">
      <w:pPr>
        <w:spacing w:line="240" w:lineRule="auto"/>
        <w:ind w:firstLine="640"/>
        <w:jc w:val="both"/>
      </w:pPr>
      <w:r>
        <w:rPr>
          <w:rFonts w:ascii="仿宋_GB2312" w:hAnsi="仿宋_GB2312" w:eastAsia="仿宋_GB2312"/>
          <w:b w:val="0"/>
          <w:sz w:val="32"/>
        </w:rPr>
        <w:t>四、《财政拨款收入支出决算总表》</w:t>
      </w:r>
    </w:p>
    <w:p w14:paraId="7F29B728">
      <w:pPr>
        <w:spacing w:line="240" w:lineRule="auto"/>
        <w:ind w:firstLine="640"/>
        <w:jc w:val="both"/>
      </w:pPr>
      <w:r>
        <w:rPr>
          <w:rFonts w:ascii="仿宋_GB2312" w:hAnsi="仿宋_GB2312" w:eastAsia="仿宋_GB2312"/>
          <w:b w:val="0"/>
          <w:sz w:val="32"/>
        </w:rPr>
        <w:t>五、《一般公共预算财政拨款支出决算表》</w:t>
      </w:r>
    </w:p>
    <w:p w14:paraId="6FB9C530">
      <w:pPr>
        <w:spacing w:line="240" w:lineRule="auto"/>
        <w:ind w:firstLine="640"/>
        <w:jc w:val="both"/>
      </w:pPr>
      <w:r>
        <w:rPr>
          <w:rFonts w:ascii="仿宋_GB2312" w:hAnsi="仿宋_GB2312" w:eastAsia="仿宋_GB2312"/>
          <w:b w:val="0"/>
          <w:sz w:val="32"/>
        </w:rPr>
        <w:t>六、《一般公共预算财政拨款基本支出决算表》</w:t>
      </w:r>
    </w:p>
    <w:p w14:paraId="070B64DA">
      <w:pPr>
        <w:spacing w:line="240" w:lineRule="auto"/>
        <w:ind w:firstLine="640"/>
        <w:jc w:val="both"/>
      </w:pPr>
      <w:r>
        <w:rPr>
          <w:rFonts w:ascii="仿宋_GB2312" w:hAnsi="仿宋_GB2312" w:eastAsia="仿宋_GB2312"/>
          <w:b w:val="0"/>
          <w:sz w:val="32"/>
        </w:rPr>
        <w:t>七、《政府性基金预算财政拨款收入支出决算表》</w:t>
      </w:r>
    </w:p>
    <w:p w14:paraId="3318BA30">
      <w:pPr>
        <w:spacing w:line="240" w:lineRule="auto"/>
        <w:ind w:firstLine="640"/>
        <w:jc w:val="both"/>
      </w:pPr>
      <w:r>
        <w:rPr>
          <w:rFonts w:ascii="仿宋_GB2312" w:hAnsi="仿宋_GB2312" w:eastAsia="仿宋_GB2312"/>
          <w:b w:val="0"/>
          <w:sz w:val="32"/>
        </w:rPr>
        <w:t>八、《国有资本经营预算财政拨款收入支出决算表》</w:t>
      </w:r>
    </w:p>
    <w:p w14:paraId="2DABF7EB">
      <w:pPr>
        <w:spacing w:line="240" w:lineRule="auto"/>
        <w:ind w:firstLine="640"/>
        <w:jc w:val="both"/>
      </w:pPr>
      <w:r>
        <w:rPr>
          <w:rFonts w:ascii="仿宋_GB2312" w:hAnsi="仿宋_GB2312" w:eastAsia="仿宋_GB2312"/>
          <w:b w:val="0"/>
          <w:sz w:val="32"/>
        </w:rPr>
        <w:t>九、《财政拨款“三公”经费支出决算表》</w:t>
      </w:r>
    </w:p>
    <w:p w14:paraId="4E8D8A30">
      <w:pPr>
        <w:spacing w:line="240" w:lineRule="auto"/>
        <w:ind w:firstLine="640"/>
        <w:jc w:val="both"/>
      </w:pPr>
    </w:p>
    <w:p w14:paraId="089AC6F1">
      <w:pPr>
        <w:spacing w:line="240" w:lineRule="auto"/>
        <w:ind w:firstLine="640"/>
        <w:jc w:val="both"/>
      </w:pPr>
    </w:p>
    <w:p w14:paraId="7B3C6CC1">
      <w:pPr>
        <w:spacing w:line="240" w:lineRule="auto"/>
        <w:ind w:firstLine="640"/>
        <w:jc w:val="both"/>
      </w:pPr>
    </w:p>
    <w:p w14:paraId="373CDC23">
      <w:pPr>
        <w:spacing w:line="240" w:lineRule="auto"/>
        <w:ind w:firstLine="640"/>
        <w:jc w:val="both"/>
      </w:pPr>
    </w:p>
    <w:p w14:paraId="77301B07">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FE9BFD-7CBA-46ED-BA3E-A67F1BBE9E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2A69629E-14F7-4199-B01F-E2C7CBF5BC29}"/>
  </w:font>
  <w:font w:name="仿宋_GB2312">
    <w:altName w:val="仿宋"/>
    <w:panose1 w:val="02010609030101010101"/>
    <w:charset w:val="86"/>
    <w:family w:val="modern"/>
    <w:pitch w:val="default"/>
    <w:sig w:usb0="00000000" w:usb1="00000000" w:usb2="00000000" w:usb3="00000000" w:csb0="00040000" w:csb1="00000000"/>
    <w:embedRegular r:id="rId3" w:fontKey="{A59A97A6-E5EB-4BB8-9DBC-E0838E24C3A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364A38F4-F48F-4113-B911-0C521AFAC24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15B2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AD4538">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01AD4538">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80C84"/>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6537B"/>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5129</Words>
  <Characters>5849</Characters>
  <Lines>0</Lines>
  <Paragraphs>0</Paragraphs>
  <TotalTime>4</TotalTime>
  <ScaleCrop>false</ScaleCrop>
  <LinksUpToDate>false</LinksUpToDate>
  <CharactersWithSpaces>5859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2025-12-26T04:00:08Z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