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且末县库拉木勒克乡卫生院2024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45F5CE0">
      <w:r>
        <w:br w:type="page"/>
      </w:r>
    </w:p>
    <w:p w14:paraId="65E133CD">
      <w:pPr>
        <w:spacing w:line="640" w:lineRule="exact"/>
        <w:jc w:val="center"/>
        <w:outlineLvl w:val="1"/>
      </w:pPr>
      <w:r>
        <w:rPr>
          <w:rFonts w:ascii="黑体" w:hAnsi="黑体" w:eastAsia="黑体"/>
          <w:sz w:val="32"/>
        </w:rPr>
        <w:t>第一部分 单位概况</w:t>
      </w:r>
    </w:p>
    <w:p w14:paraId="339FF928">
      <w:pPr>
        <w:spacing w:line="640" w:lineRule="exact"/>
        <w:ind w:firstLine="640"/>
        <w:jc w:val="both"/>
        <w:outlineLvl w:val="2"/>
      </w:pPr>
      <w:r>
        <w:rPr>
          <w:rFonts w:ascii="黑体" w:hAnsi="黑体" w:eastAsia="黑体"/>
          <w:sz w:val="32"/>
        </w:rPr>
        <w:t>一、主要职能</w:t>
      </w:r>
    </w:p>
    <w:p w14:paraId="71A16876">
      <w:pPr>
        <w:spacing w:line="580" w:lineRule="exact"/>
        <w:ind w:firstLine="640"/>
        <w:jc w:val="both"/>
      </w:pPr>
      <w:r>
        <w:rPr>
          <w:rFonts w:hint="eastAsia" w:ascii="仿宋_GB2312" w:hAnsi="仿宋_GB2312" w:eastAsia="仿宋_GB2312"/>
          <w:sz w:val="32"/>
          <w:lang w:val="en-US" w:eastAsia="zh-CN"/>
        </w:rPr>
        <w:t>单位</w:t>
      </w:r>
      <w:r>
        <w:rPr>
          <w:rFonts w:ascii="仿宋_GB2312" w:hAnsi="仿宋_GB2312" w:eastAsia="仿宋_GB2312"/>
          <w:sz w:val="32"/>
        </w:rPr>
        <w:t>提供以预防保健、基本医疗,</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县卫健委委托承担辖区内公共卫生管理，负责对村级卫生机构的技术指导和对乡村医生的管理、培训等。全面实施国家基本公共卫生服务和重大公共卫生服务项目，提高农民保健意识。</w:t>
      </w:r>
    </w:p>
    <w:p w14:paraId="46DC36AE">
      <w:pPr>
        <w:spacing w:line="640" w:lineRule="exact"/>
        <w:ind w:firstLine="640"/>
        <w:jc w:val="both"/>
        <w:outlineLvl w:val="2"/>
      </w:pPr>
      <w:r>
        <w:rPr>
          <w:rFonts w:ascii="黑体" w:hAnsi="黑体" w:eastAsia="黑体"/>
          <w:sz w:val="32"/>
        </w:rPr>
        <w:t>二、机构设置及人员情况</w:t>
      </w:r>
    </w:p>
    <w:p w14:paraId="19EB25F5">
      <w:pPr>
        <w:spacing w:line="580" w:lineRule="exact"/>
        <w:ind w:firstLine="640"/>
        <w:jc w:val="both"/>
      </w:pPr>
      <w:r>
        <w:rPr>
          <w:rFonts w:ascii="仿宋_GB2312" w:hAnsi="仿宋_GB2312" w:eastAsia="仿宋_GB2312"/>
          <w:sz w:val="32"/>
        </w:rPr>
        <w:t>且末县库拉木勒克乡卫生院2024年度，实有人数23人，其中：在职人员13人，增加0人；离休人员0人，增加0人；退休人员10人,增加1人。</w:t>
      </w:r>
    </w:p>
    <w:p w14:paraId="11325D7F">
      <w:pPr>
        <w:spacing w:line="580" w:lineRule="exact"/>
        <w:ind w:firstLine="640"/>
        <w:jc w:val="both"/>
      </w:pPr>
      <w:r>
        <w:rPr>
          <w:rFonts w:ascii="仿宋_GB2312" w:hAnsi="仿宋_GB2312" w:eastAsia="仿宋_GB2312"/>
          <w:sz w:val="32"/>
        </w:rPr>
        <w:t>且末县库拉木勒克乡卫生院无下属预算单位，下设6个科室，分别是：办公室、门诊办公室、妇幼办公室、防疫办公室、公共卫生办公室、收费室。</w:t>
      </w:r>
    </w:p>
    <w:p w14:paraId="6BDB9CC8">
      <w:r>
        <w:br w:type="page"/>
      </w:r>
    </w:p>
    <w:p w14:paraId="691FC045">
      <w:pPr>
        <w:spacing w:line="240" w:lineRule="auto"/>
        <w:jc w:val="center"/>
        <w:outlineLvl w:val="1"/>
      </w:pPr>
      <w:r>
        <w:rPr>
          <w:rFonts w:ascii="黑体" w:hAnsi="黑体" w:eastAsia="黑体"/>
          <w:sz w:val="32"/>
        </w:rPr>
        <w:t>第二部分 部门决算情况说明</w:t>
      </w:r>
    </w:p>
    <w:p w14:paraId="325C0D51">
      <w:pPr>
        <w:spacing w:line="640" w:lineRule="exact"/>
        <w:ind w:firstLine="640"/>
        <w:jc w:val="both"/>
        <w:outlineLvl w:val="2"/>
      </w:pPr>
      <w:r>
        <w:rPr>
          <w:rFonts w:ascii="黑体" w:hAnsi="黑体" w:eastAsia="黑体"/>
          <w:sz w:val="32"/>
        </w:rPr>
        <w:t>一、收入支出决算总体情况说明</w:t>
      </w:r>
    </w:p>
    <w:p w14:paraId="2E0F82FF">
      <w:pPr>
        <w:spacing w:line="580" w:lineRule="exact"/>
        <w:ind w:firstLine="640"/>
        <w:jc w:val="both"/>
      </w:pPr>
      <w:r>
        <w:rPr>
          <w:rFonts w:ascii="仿宋_GB2312" w:hAnsi="仿宋_GB2312" w:eastAsia="仿宋_GB2312"/>
          <w:b/>
          <w:sz w:val="32"/>
        </w:rPr>
        <w:t>2024年度收入总计270.28万元，</w:t>
      </w:r>
      <w:r>
        <w:rPr>
          <w:rFonts w:ascii="仿宋_GB2312" w:hAnsi="仿宋_GB2312" w:eastAsia="仿宋_GB2312"/>
          <w:b w:val="0"/>
          <w:sz w:val="32"/>
        </w:rPr>
        <w:t>其中：本年收入合计270.28万元，使用非财政拨款结余（含专用结余）0.00万元，年初结转和结余0.00万元。</w:t>
      </w:r>
    </w:p>
    <w:p w14:paraId="6B0F2165">
      <w:pPr>
        <w:spacing w:line="580" w:lineRule="exact"/>
        <w:ind w:firstLine="640"/>
        <w:jc w:val="both"/>
      </w:pPr>
      <w:r>
        <w:rPr>
          <w:rFonts w:ascii="仿宋_GB2312" w:hAnsi="仿宋_GB2312" w:eastAsia="仿宋_GB2312"/>
          <w:b/>
          <w:sz w:val="32"/>
        </w:rPr>
        <w:t>2024年度支出总计270.28万元，</w:t>
      </w:r>
      <w:r>
        <w:rPr>
          <w:rFonts w:ascii="仿宋_GB2312" w:hAnsi="仿宋_GB2312" w:eastAsia="仿宋_GB2312"/>
          <w:b w:val="0"/>
          <w:sz w:val="32"/>
        </w:rPr>
        <w:t>其中：本年支出合计265.48万元，结余分配4.80万元，年末结转和结余0.00万元。</w:t>
      </w:r>
    </w:p>
    <w:p w14:paraId="1DA0DDF0">
      <w:pPr>
        <w:spacing w:line="580" w:lineRule="exact"/>
        <w:ind w:firstLine="640"/>
        <w:jc w:val="both"/>
      </w:pPr>
      <w:r>
        <w:rPr>
          <w:rFonts w:ascii="仿宋_GB2312" w:hAnsi="仿宋_GB2312" w:eastAsia="仿宋_GB2312"/>
          <w:b w:val="0"/>
          <w:sz w:val="32"/>
        </w:rPr>
        <w:t>收入支出总体与上年相比，减少32.17万元，下降10.64%，主要原因是：一是上年度补发以前年度绩效奖金，本年</w:t>
      </w:r>
      <w:r>
        <w:rPr>
          <w:rFonts w:hint="eastAsia" w:ascii="仿宋_GB2312" w:hAnsi="仿宋_GB2312" w:eastAsia="仿宋_GB2312"/>
          <w:b w:val="0"/>
          <w:sz w:val="32"/>
          <w:lang w:val="en-US" w:eastAsia="zh-CN"/>
        </w:rPr>
        <w:t>正常发放绩效奖金</w:t>
      </w:r>
      <w:r>
        <w:rPr>
          <w:rFonts w:ascii="仿宋_GB2312" w:hAnsi="仿宋_GB2312" w:eastAsia="仿宋_GB2312"/>
          <w:b w:val="0"/>
          <w:sz w:val="32"/>
        </w:rPr>
        <w:t>，导致经费较上年减少；二是本年减少聘用人员工资、地方病防治补助资金。</w:t>
      </w:r>
    </w:p>
    <w:p w14:paraId="73E946B0">
      <w:pPr>
        <w:spacing w:line="640" w:lineRule="exact"/>
        <w:ind w:firstLine="640"/>
        <w:jc w:val="both"/>
        <w:outlineLvl w:val="2"/>
      </w:pPr>
      <w:r>
        <w:rPr>
          <w:rFonts w:ascii="黑体" w:hAnsi="黑体" w:eastAsia="黑体"/>
          <w:sz w:val="32"/>
        </w:rPr>
        <w:t>二、收入决算情况说明</w:t>
      </w:r>
    </w:p>
    <w:p w14:paraId="0BC5E124">
      <w:pPr>
        <w:spacing w:line="580" w:lineRule="exact"/>
        <w:ind w:firstLine="640"/>
        <w:jc w:val="both"/>
      </w:pPr>
      <w:r>
        <w:rPr>
          <w:rFonts w:ascii="仿宋_GB2312" w:hAnsi="仿宋_GB2312" w:eastAsia="仿宋_GB2312"/>
          <w:b/>
          <w:sz w:val="32"/>
        </w:rPr>
        <w:t>本年收入270.28万元，</w:t>
      </w:r>
      <w:r>
        <w:rPr>
          <w:rFonts w:ascii="仿宋_GB2312" w:hAnsi="仿宋_GB2312" w:eastAsia="仿宋_GB2312"/>
          <w:b w:val="0"/>
          <w:sz w:val="32"/>
        </w:rPr>
        <w:t>其中：财政拨款收入247.98万元，占91.75%；上级补助收入0.00万元，占0.00%；事业收入22.28万元，占8.24%；经营收入0.00万元，占0.00%；附属单位上缴收入0.00万元，占0.00%；其他收入0.03万元，占0.01%。</w:t>
      </w:r>
    </w:p>
    <w:p w14:paraId="1A709223">
      <w:pPr>
        <w:spacing w:line="640" w:lineRule="exact"/>
        <w:ind w:firstLine="640"/>
        <w:jc w:val="both"/>
        <w:outlineLvl w:val="2"/>
      </w:pPr>
      <w:r>
        <w:rPr>
          <w:rFonts w:ascii="黑体" w:hAnsi="黑体" w:eastAsia="黑体"/>
          <w:sz w:val="32"/>
        </w:rPr>
        <w:t>三、支出决算情况说明</w:t>
      </w:r>
    </w:p>
    <w:p w14:paraId="35125824">
      <w:pPr>
        <w:spacing w:line="580" w:lineRule="exact"/>
        <w:ind w:firstLine="640"/>
        <w:jc w:val="both"/>
      </w:pPr>
      <w:r>
        <w:rPr>
          <w:rFonts w:ascii="仿宋_GB2312" w:hAnsi="仿宋_GB2312" w:eastAsia="仿宋_GB2312"/>
          <w:b/>
          <w:sz w:val="32"/>
        </w:rPr>
        <w:t>本年支出265.48万元，</w:t>
      </w:r>
      <w:r>
        <w:rPr>
          <w:rFonts w:ascii="仿宋_GB2312" w:hAnsi="仿宋_GB2312" w:eastAsia="仿宋_GB2312"/>
          <w:b w:val="0"/>
          <w:sz w:val="32"/>
        </w:rPr>
        <w:t>其中：基本支出247.10万元，占93.08%；项目支出18.39万元，占6.93%；上缴上级支出0.00万元，占0.00%；经营支出0.00万元，占0.00%；对附属单位补助支出0.00万元，占0.00%。</w:t>
      </w:r>
    </w:p>
    <w:p w14:paraId="3E1A3F99">
      <w:pPr>
        <w:spacing w:line="640" w:lineRule="exact"/>
        <w:ind w:firstLine="640"/>
        <w:jc w:val="both"/>
        <w:outlineLvl w:val="2"/>
      </w:pPr>
      <w:r>
        <w:rPr>
          <w:rFonts w:ascii="黑体" w:hAnsi="黑体" w:eastAsia="黑体"/>
          <w:sz w:val="32"/>
        </w:rPr>
        <w:t>四、财政拨款收入支出决算总体情况说明</w:t>
      </w:r>
    </w:p>
    <w:p w14:paraId="197869CF">
      <w:pPr>
        <w:spacing w:line="580" w:lineRule="exact"/>
        <w:ind w:firstLine="640"/>
        <w:jc w:val="both"/>
      </w:pPr>
      <w:r>
        <w:rPr>
          <w:rFonts w:ascii="仿宋_GB2312" w:hAnsi="仿宋_GB2312" w:eastAsia="仿宋_GB2312"/>
          <w:b/>
          <w:sz w:val="32"/>
        </w:rPr>
        <w:t>2024年度财政拨款收入总计247.98万元，</w:t>
      </w:r>
      <w:r>
        <w:rPr>
          <w:rFonts w:ascii="仿宋_GB2312" w:hAnsi="仿宋_GB2312" w:eastAsia="仿宋_GB2312"/>
          <w:b w:val="0"/>
          <w:sz w:val="32"/>
        </w:rPr>
        <w:t>其中：年初财政拨款结转和结余0.00万元，本年财政拨款收入247.98万元。</w:t>
      </w:r>
      <w:r>
        <w:rPr>
          <w:rFonts w:ascii="仿宋_GB2312" w:hAnsi="仿宋_GB2312" w:eastAsia="仿宋_GB2312"/>
          <w:b/>
          <w:sz w:val="32"/>
        </w:rPr>
        <w:t>财政拨款支出总计247.98万元，</w:t>
      </w:r>
      <w:r>
        <w:rPr>
          <w:rFonts w:ascii="仿宋_GB2312" w:hAnsi="仿宋_GB2312" w:eastAsia="仿宋_GB2312"/>
          <w:b w:val="0"/>
          <w:sz w:val="32"/>
        </w:rPr>
        <w:t>其中：年末财政拨款结转和结余0.00万元，本年财政拨款支出247.98万元。</w:t>
      </w:r>
    </w:p>
    <w:p w14:paraId="284135D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减少40.30万元，下降13.98%，主要原因是：一是上年度补发以前年度绩效奖金，本年</w:t>
      </w:r>
      <w:r>
        <w:rPr>
          <w:rFonts w:hint="eastAsia" w:ascii="仿宋_GB2312" w:hAnsi="仿宋_GB2312" w:eastAsia="仿宋_GB2312"/>
          <w:b w:val="0"/>
          <w:sz w:val="32"/>
          <w:lang w:val="en-US" w:eastAsia="zh-CN"/>
        </w:rPr>
        <w:t>正常发放绩效奖金</w:t>
      </w:r>
      <w:r>
        <w:rPr>
          <w:rFonts w:ascii="仿宋_GB2312" w:hAnsi="仿宋_GB2312" w:eastAsia="仿宋_GB2312"/>
          <w:b w:val="0"/>
          <w:sz w:val="32"/>
        </w:rPr>
        <w:t>，导致经费较上年减少；二是本年减少聘用人员工资、地方病防治补助资金。</w:t>
      </w:r>
      <w:r>
        <w:rPr>
          <w:rFonts w:ascii="仿宋_GB2312" w:hAnsi="仿宋_GB2312" w:eastAsia="仿宋_GB2312"/>
          <w:b/>
          <w:sz w:val="32"/>
        </w:rPr>
        <w:t>与年初预算相比，</w:t>
      </w:r>
      <w:r>
        <w:rPr>
          <w:rFonts w:ascii="仿宋_GB2312" w:hAnsi="仿宋_GB2312" w:eastAsia="仿宋_GB2312"/>
          <w:b w:val="0"/>
          <w:sz w:val="32"/>
        </w:rPr>
        <w:t>年初预算数256.87万元，决算数247.98万元，预决算差异率-3.46%，主要原因是：年中调减地方病防治补助资金，导致预决算存在差异。</w:t>
      </w:r>
    </w:p>
    <w:p w14:paraId="503D793D">
      <w:pPr>
        <w:spacing w:line="640" w:lineRule="exact"/>
        <w:ind w:firstLine="640"/>
        <w:jc w:val="both"/>
        <w:outlineLvl w:val="2"/>
      </w:pPr>
      <w:r>
        <w:rPr>
          <w:rFonts w:ascii="黑体" w:hAnsi="黑体" w:eastAsia="黑体"/>
          <w:sz w:val="32"/>
        </w:rPr>
        <w:t>五、一般公共预算财政拨款支出决算情况说明</w:t>
      </w:r>
    </w:p>
    <w:p w14:paraId="64A8ADE3">
      <w:pPr>
        <w:spacing w:line="640" w:lineRule="exact"/>
        <w:ind w:firstLine="640"/>
        <w:jc w:val="both"/>
        <w:outlineLvl w:val="3"/>
      </w:pPr>
      <w:r>
        <w:rPr>
          <w:rFonts w:ascii="楷体_GB2312" w:hAnsi="楷体_GB2312" w:eastAsia="楷体_GB2312"/>
          <w:b/>
          <w:sz w:val="32"/>
        </w:rPr>
        <w:t>（一）一般公共预算财政拨款支出决算总体情况</w:t>
      </w:r>
    </w:p>
    <w:p w14:paraId="2BCA8EDF">
      <w:pPr>
        <w:spacing w:line="580" w:lineRule="exact"/>
        <w:ind w:firstLine="640"/>
        <w:jc w:val="both"/>
      </w:pPr>
      <w:r>
        <w:rPr>
          <w:rFonts w:ascii="仿宋_GB2312" w:hAnsi="仿宋_GB2312" w:eastAsia="仿宋_GB2312"/>
          <w:b/>
          <w:sz w:val="32"/>
        </w:rPr>
        <w:t>2024年度一般公共预算财政拨款支出247.89万元，</w:t>
      </w:r>
      <w:r>
        <w:rPr>
          <w:rFonts w:ascii="仿宋_GB2312" w:hAnsi="仿宋_GB2312" w:eastAsia="仿宋_GB2312"/>
          <w:b w:val="0"/>
          <w:sz w:val="32"/>
        </w:rPr>
        <w:t>占本年支出合计的93.37%。</w:t>
      </w:r>
      <w:r>
        <w:rPr>
          <w:rFonts w:ascii="仿宋_GB2312" w:hAnsi="仿宋_GB2312" w:eastAsia="仿宋_GB2312"/>
          <w:b/>
          <w:sz w:val="32"/>
        </w:rPr>
        <w:t>与上年相比，</w:t>
      </w:r>
      <w:r>
        <w:rPr>
          <w:rFonts w:ascii="仿宋_GB2312" w:hAnsi="仿宋_GB2312" w:eastAsia="仿宋_GB2312"/>
          <w:b w:val="0"/>
          <w:sz w:val="32"/>
        </w:rPr>
        <w:t>减少40.39万元，下降14.01%，主要原因是：一是上年度补发以前年度绩效奖金，本年</w:t>
      </w:r>
      <w:r>
        <w:rPr>
          <w:rFonts w:hint="eastAsia" w:ascii="仿宋_GB2312" w:hAnsi="仿宋_GB2312" w:eastAsia="仿宋_GB2312"/>
          <w:b w:val="0"/>
          <w:sz w:val="32"/>
          <w:lang w:val="en-US" w:eastAsia="zh-CN"/>
        </w:rPr>
        <w:t>正常发放绩效奖金</w:t>
      </w:r>
      <w:r>
        <w:rPr>
          <w:rFonts w:ascii="仿宋_GB2312" w:hAnsi="仿宋_GB2312" w:eastAsia="仿宋_GB2312"/>
          <w:b w:val="0"/>
          <w:sz w:val="32"/>
        </w:rPr>
        <w:t>，导致经费较上年减少；二是本年减少聘用人员工资、地方病防治补助资金。</w:t>
      </w:r>
      <w:r>
        <w:rPr>
          <w:rFonts w:ascii="仿宋_GB2312" w:hAnsi="仿宋_GB2312" w:eastAsia="仿宋_GB2312"/>
          <w:b/>
          <w:sz w:val="32"/>
        </w:rPr>
        <w:t>与年初预算相比,</w:t>
      </w:r>
      <w:r>
        <w:rPr>
          <w:rFonts w:ascii="仿宋_GB2312" w:hAnsi="仿宋_GB2312" w:eastAsia="仿宋_GB2312"/>
          <w:b w:val="0"/>
          <w:sz w:val="32"/>
        </w:rPr>
        <w:t>年初预算数256.87万元，决算数247.89万元，预决算差异率-3.50%，主要原因是：年中调减地方病防治补助资金，导致预决算存在差异。</w:t>
      </w:r>
    </w:p>
    <w:p w14:paraId="525DAAD6">
      <w:pPr>
        <w:spacing w:line="640" w:lineRule="exact"/>
        <w:ind w:firstLine="640"/>
        <w:jc w:val="both"/>
        <w:outlineLvl w:val="3"/>
      </w:pPr>
      <w:r>
        <w:rPr>
          <w:rFonts w:ascii="楷体_GB2312" w:hAnsi="楷体_GB2312" w:eastAsia="楷体_GB2312"/>
          <w:b/>
          <w:sz w:val="32"/>
        </w:rPr>
        <w:t>（二）一般公共预算财政拨款支出决算结构情况</w:t>
      </w:r>
    </w:p>
    <w:p w14:paraId="7CE224EB">
      <w:pPr>
        <w:spacing w:line="580" w:lineRule="exact"/>
        <w:ind w:firstLine="640"/>
        <w:jc w:val="both"/>
      </w:pPr>
      <w:r>
        <w:rPr>
          <w:rFonts w:ascii="仿宋_GB2312" w:hAnsi="仿宋_GB2312" w:eastAsia="仿宋_GB2312"/>
          <w:b w:val="0"/>
          <w:sz w:val="32"/>
        </w:rPr>
        <w:t>1.社会保障和就业支出(类)36.32万元,占14.65%。</w:t>
      </w:r>
    </w:p>
    <w:p w14:paraId="1B88E926">
      <w:pPr>
        <w:spacing w:line="580" w:lineRule="exact"/>
        <w:ind w:firstLine="640"/>
        <w:jc w:val="both"/>
      </w:pPr>
      <w:r>
        <w:rPr>
          <w:rFonts w:ascii="仿宋_GB2312" w:hAnsi="仿宋_GB2312" w:eastAsia="仿宋_GB2312"/>
          <w:b w:val="0"/>
          <w:sz w:val="32"/>
        </w:rPr>
        <w:t>2.卫生健康支出(类)193.79万元,占78.18%。</w:t>
      </w:r>
    </w:p>
    <w:p w14:paraId="6DF6446B">
      <w:pPr>
        <w:spacing w:line="580" w:lineRule="exact"/>
        <w:ind w:firstLine="640"/>
        <w:jc w:val="both"/>
      </w:pPr>
      <w:r>
        <w:rPr>
          <w:rFonts w:ascii="仿宋_GB2312" w:hAnsi="仿宋_GB2312" w:eastAsia="仿宋_GB2312"/>
          <w:b w:val="0"/>
          <w:sz w:val="32"/>
        </w:rPr>
        <w:t>3.住房保障支出(类)17.78万元,占7.17%。</w:t>
      </w:r>
    </w:p>
    <w:p w14:paraId="43300164">
      <w:pPr>
        <w:spacing w:line="640" w:lineRule="exact"/>
        <w:ind w:firstLine="640"/>
        <w:jc w:val="both"/>
        <w:outlineLvl w:val="3"/>
      </w:pPr>
      <w:r>
        <w:rPr>
          <w:rFonts w:ascii="楷体_GB2312" w:hAnsi="楷体_GB2312" w:eastAsia="楷体_GB2312"/>
          <w:b/>
          <w:sz w:val="32"/>
        </w:rPr>
        <w:t>（三）一般公共预算财政拨款支出决算具体情况</w:t>
      </w:r>
    </w:p>
    <w:p w14:paraId="3A823796">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1.社会保障和就业支出(类)行政事业单位养老支出(款)事业单位离退休(项):支出决算数为6.37万元，比上年决算增加2.33万元，增长57.67%,主要原因是：本年增加退休人员基础绩效奖，退休费支出增加。</w:t>
      </w:r>
    </w:p>
    <w:p w14:paraId="7570AE7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22.48万元，比上年决算增加0.93万元，增长4.32%,主要原因是：本年在职人员工资基数调增，养老缴费基数上涨，事业单位基本养老保险支出增加。</w:t>
      </w:r>
    </w:p>
    <w:p w14:paraId="51AB83CC">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3.社会保障和就业支出(类)行政事业单位养老支出(款)机关事业单位职业年金缴费支出(项):支出决算数为7.48万元，比上年决算增加1.83万元，增长32.39%,主要原因是：本年新增退休人员</w:t>
      </w:r>
      <w:r>
        <w:rPr>
          <w:rFonts w:hint="eastAsia" w:ascii="仿宋_GB2312" w:hAnsi="仿宋_GB2312" w:eastAsia="仿宋_GB2312"/>
          <w:b w:val="0"/>
          <w:sz w:val="32"/>
          <w:lang w:val="en-US" w:eastAsia="zh-CN"/>
        </w:rPr>
        <w:t>较上年增加</w:t>
      </w:r>
      <w:r>
        <w:rPr>
          <w:rFonts w:ascii="仿宋_GB2312" w:hAnsi="仿宋_GB2312" w:eastAsia="仿宋_GB2312"/>
          <w:b w:val="0"/>
          <w:sz w:val="32"/>
        </w:rPr>
        <w:t>，职业年金缴费支出增加。</w:t>
      </w:r>
    </w:p>
    <w:p w14:paraId="2D102458">
      <w:pPr>
        <w:spacing w:line="580" w:lineRule="exact"/>
        <w:ind w:firstLine="640"/>
        <w:jc w:val="both"/>
      </w:pPr>
      <w:r>
        <w:rPr>
          <w:rFonts w:ascii="仿宋_GB2312" w:hAnsi="仿宋_GB2312" w:eastAsia="仿宋_GB2312"/>
          <w:b w:val="0"/>
          <w:sz w:val="32"/>
        </w:rPr>
        <w:t>4.社会保障和就业支出(类)就业补助(款)其他就业补助支出(项):支出决算数为0.00万元，比上年决算减少14.80万元，下降100.00%,主要原因是：本年减少聘用人员工资。</w:t>
      </w:r>
    </w:p>
    <w:p w14:paraId="50269CA6">
      <w:pPr>
        <w:spacing w:line="580" w:lineRule="exact"/>
        <w:ind w:firstLine="640"/>
        <w:jc w:val="both"/>
        <w:rPr>
          <w:rFonts w:hint="eastAsia" w:ascii="仿宋_GB2312" w:hAnsi="仿宋_GB2312" w:eastAsia="仿宋_GB2312"/>
          <w:b w:val="0"/>
          <w:sz w:val="32"/>
          <w:lang w:eastAsia="zh-CN"/>
        </w:rPr>
      </w:pPr>
      <w:r>
        <w:rPr>
          <w:rFonts w:ascii="仿宋_GB2312" w:hAnsi="仿宋_GB2312" w:eastAsia="仿宋_GB2312"/>
          <w:b w:val="0"/>
          <w:sz w:val="32"/>
        </w:rPr>
        <w:t>5.卫生健康支出(类)基层医疗卫生机构(款)乡镇卫生院(项):支出决算数为165.27万元，比上年决算减少31.79万元，下降16.13%,主要原因是：上年度补发以前年度绩效奖金，本年</w:t>
      </w:r>
      <w:r>
        <w:rPr>
          <w:rFonts w:hint="eastAsia" w:ascii="仿宋_GB2312" w:hAnsi="仿宋_GB2312" w:eastAsia="仿宋_GB2312"/>
          <w:b w:val="0"/>
          <w:sz w:val="32"/>
          <w:lang w:val="en-US" w:eastAsia="zh-CN"/>
        </w:rPr>
        <w:t>正常发放绩效奖金</w:t>
      </w:r>
      <w:r>
        <w:rPr>
          <w:rFonts w:ascii="仿宋_GB2312" w:hAnsi="仿宋_GB2312" w:eastAsia="仿宋_GB2312"/>
          <w:b w:val="0"/>
          <w:sz w:val="32"/>
        </w:rPr>
        <w:t>，导致经费较上年减少</w:t>
      </w:r>
      <w:r>
        <w:rPr>
          <w:rFonts w:hint="eastAsia" w:ascii="仿宋_GB2312" w:hAnsi="仿宋_GB2312" w:eastAsia="仿宋_GB2312"/>
          <w:b w:val="0"/>
          <w:sz w:val="32"/>
          <w:lang w:eastAsia="zh-CN"/>
        </w:rPr>
        <w:t>。</w:t>
      </w:r>
    </w:p>
    <w:p w14:paraId="45462C0F">
      <w:pPr>
        <w:spacing w:line="580" w:lineRule="exact"/>
        <w:ind w:firstLine="640"/>
        <w:jc w:val="both"/>
      </w:pPr>
      <w:r>
        <w:rPr>
          <w:rFonts w:ascii="仿宋_GB2312" w:hAnsi="仿宋_GB2312" w:eastAsia="仿宋_GB2312"/>
          <w:b w:val="0"/>
          <w:sz w:val="32"/>
        </w:rPr>
        <w:t>6.卫生健康支出(类)基层医疗卫生机构(款)其他基层医疗卫生机构支出(项):支出决算数为1.96万元，比上年决算增加0.43万元，增长28.10%,主要原因是：本年基本药物制度补助资金较上年增加。</w:t>
      </w:r>
    </w:p>
    <w:p w14:paraId="7CC52391">
      <w:pPr>
        <w:spacing w:line="580" w:lineRule="exact"/>
        <w:ind w:firstLine="640"/>
        <w:jc w:val="both"/>
      </w:pPr>
      <w:r>
        <w:rPr>
          <w:rFonts w:ascii="仿宋_GB2312" w:hAnsi="仿宋_GB2312" w:eastAsia="仿宋_GB2312"/>
          <w:b w:val="0"/>
          <w:sz w:val="32"/>
        </w:rPr>
        <w:t>7.卫生健康支出(类)公共卫生(款)基本公共卫生服务(项):支出决算数为16.04万元，比上年决算减少0.90万元，下降5.31%,主要原因是：本年地方病防治补助资金较上年减少。</w:t>
      </w:r>
    </w:p>
    <w:p w14:paraId="7FED953D">
      <w:pPr>
        <w:spacing w:line="580" w:lineRule="exact"/>
        <w:ind w:firstLine="640"/>
        <w:jc w:val="both"/>
      </w:pPr>
      <w:r>
        <w:rPr>
          <w:rFonts w:ascii="仿宋_GB2312" w:hAnsi="仿宋_GB2312" w:eastAsia="仿宋_GB2312"/>
          <w:b w:val="0"/>
          <w:sz w:val="32"/>
        </w:rPr>
        <w:t>8.卫生健康支出(类)</w:t>
      </w:r>
      <w:bookmarkStart w:id="0" w:name="_GoBack"/>
      <w:r>
        <w:rPr>
          <w:rFonts w:ascii="仿宋_GB2312" w:hAnsi="仿宋_GB2312" w:eastAsia="仿宋_GB2312"/>
          <w:b w:val="0"/>
          <w:sz w:val="32"/>
        </w:rPr>
        <w:t>计划生育</w:t>
      </w:r>
      <w:bookmarkEnd w:id="0"/>
      <w:r>
        <w:rPr>
          <w:rFonts w:ascii="仿宋_GB2312" w:hAnsi="仿宋_GB2312" w:eastAsia="仿宋_GB2312"/>
          <w:b w:val="0"/>
          <w:sz w:val="32"/>
        </w:rPr>
        <w:t>事务(款)计划生育服务(项):支出决算数为0.30万元，比上年决算增加0.30万元，增长100.00%,主要原因是：本年度新增JHSY服务支出项目。</w:t>
      </w:r>
    </w:p>
    <w:p w14:paraId="3494924E">
      <w:pPr>
        <w:spacing w:line="580" w:lineRule="exact"/>
        <w:ind w:firstLine="640"/>
        <w:jc w:val="both"/>
      </w:pPr>
      <w:r>
        <w:rPr>
          <w:rFonts w:ascii="仿宋_GB2312" w:hAnsi="仿宋_GB2312" w:eastAsia="仿宋_GB2312"/>
          <w:b w:val="0"/>
          <w:sz w:val="32"/>
        </w:rPr>
        <w:t>9.卫生健康支出(类)行政事业单位医疗(款)事业单位医疗(项):支出决算数为10.21万元，比上年决算减少0.02万元，下降0.20%,主要原因是：本年在职人员调入调出，人员职级不同，缴费基数不同，导致事业单位医疗较上年减少。</w:t>
      </w:r>
    </w:p>
    <w:p w14:paraId="5D2B68BB">
      <w:pPr>
        <w:spacing w:line="580" w:lineRule="exact"/>
        <w:ind w:firstLine="640"/>
        <w:jc w:val="both"/>
      </w:pPr>
      <w:r>
        <w:rPr>
          <w:rFonts w:ascii="仿宋_GB2312" w:hAnsi="仿宋_GB2312" w:eastAsia="仿宋_GB2312"/>
          <w:b w:val="0"/>
          <w:sz w:val="32"/>
        </w:rPr>
        <w:t>10.住房保障支出(类)住房改革支出(款)住房公积金(项):支出决算数为17.78万元，比上年决算增加1.30万元，增长7.89%,主要原因是：本年在职人员工资基数调增，公积金缴费基数上涨，住房公积金支出增加。</w:t>
      </w:r>
    </w:p>
    <w:p w14:paraId="09C78A2C">
      <w:pPr>
        <w:spacing w:line="640" w:lineRule="exact"/>
        <w:ind w:firstLine="640"/>
        <w:jc w:val="both"/>
        <w:outlineLvl w:val="2"/>
      </w:pPr>
      <w:r>
        <w:rPr>
          <w:rFonts w:ascii="黑体" w:hAnsi="黑体" w:eastAsia="黑体"/>
          <w:sz w:val="32"/>
        </w:rPr>
        <w:t>六、一般公共预算财政拨款基本支出决算情况说明</w:t>
      </w:r>
    </w:p>
    <w:p w14:paraId="2AB1C30C">
      <w:pPr>
        <w:spacing w:line="580" w:lineRule="exact"/>
        <w:ind w:firstLine="640"/>
        <w:jc w:val="both"/>
      </w:pPr>
      <w:r>
        <w:rPr>
          <w:rFonts w:ascii="仿宋_GB2312" w:hAnsi="仿宋_GB2312" w:eastAsia="仿宋_GB2312"/>
          <w:b w:val="0"/>
          <w:sz w:val="32"/>
        </w:rPr>
        <w:t>2024年度一般公共预算财政拨款基本支出229.59万元，其中：</w:t>
      </w:r>
      <w:r>
        <w:rPr>
          <w:rFonts w:ascii="仿宋_GB2312" w:hAnsi="仿宋_GB2312" w:eastAsia="仿宋_GB2312"/>
          <w:b/>
          <w:sz w:val="32"/>
        </w:rPr>
        <w:t>人员经费229.59万元，</w:t>
      </w:r>
      <w:r>
        <w:rPr>
          <w:rFonts w:ascii="仿宋_GB2312" w:hAnsi="仿宋_GB2312" w:eastAsia="仿宋_GB2312"/>
          <w:b w:val="0"/>
          <w:sz w:val="32"/>
        </w:rPr>
        <w:t>包括：基本工资、津贴补贴、奖金、绩效工资、机关事业单位基本养老保险缴费、职业年金缴费、职工基本医疗保险缴费、其他社会保障缴费、住房公积金、退休费。</w:t>
      </w:r>
    </w:p>
    <w:p w14:paraId="45F23239">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3793C3E5">
      <w:pPr>
        <w:spacing w:line="640" w:lineRule="exact"/>
        <w:ind w:firstLine="640"/>
        <w:jc w:val="both"/>
        <w:outlineLvl w:val="2"/>
      </w:pPr>
      <w:r>
        <w:rPr>
          <w:rFonts w:ascii="黑体" w:hAnsi="黑体" w:eastAsia="黑体"/>
          <w:sz w:val="32"/>
        </w:rPr>
        <w:t>七、政府性基金预算财政拨款收入支出决算情况说明</w:t>
      </w:r>
    </w:p>
    <w:p w14:paraId="0C4FBE9C">
      <w:pPr>
        <w:spacing w:line="580" w:lineRule="exact"/>
        <w:ind w:firstLine="640"/>
        <w:jc w:val="both"/>
      </w:pPr>
      <w:r>
        <w:rPr>
          <w:rFonts w:ascii="仿宋_GB2312" w:hAnsi="仿宋_GB2312" w:eastAsia="仿宋_GB2312"/>
          <w:b/>
          <w:sz w:val="32"/>
        </w:rPr>
        <w:t>2024年度政府性基金预算财政拨款收入总计0.09万元，</w:t>
      </w:r>
      <w:r>
        <w:rPr>
          <w:rFonts w:ascii="仿宋_GB2312" w:hAnsi="仿宋_GB2312" w:eastAsia="仿宋_GB2312"/>
          <w:b w:val="0"/>
          <w:sz w:val="32"/>
        </w:rPr>
        <w:t>其中：年初结转和结余0.00万元，本年收入0.09万元。</w:t>
      </w:r>
      <w:r>
        <w:rPr>
          <w:rFonts w:ascii="仿宋_GB2312" w:hAnsi="仿宋_GB2312" w:eastAsia="仿宋_GB2312"/>
          <w:b/>
          <w:sz w:val="32"/>
        </w:rPr>
        <w:t>政府性基金预算财政拨款支出总计0.09万元，</w:t>
      </w:r>
      <w:r>
        <w:rPr>
          <w:rFonts w:ascii="仿宋_GB2312" w:hAnsi="仿宋_GB2312" w:eastAsia="仿宋_GB2312"/>
          <w:b w:val="0"/>
          <w:sz w:val="32"/>
        </w:rPr>
        <w:t>其中：年末结转和结余0.00万元，本年支出0.09万元。</w:t>
      </w:r>
    </w:p>
    <w:p w14:paraId="7C3E36A5">
      <w:pPr>
        <w:spacing w:line="580" w:lineRule="exact"/>
        <w:ind w:firstLine="640"/>
        <w:jc w:val="both"/>
        <w:rPr>
          <w:rFonts w:hint="default" w:eastAsia="仿宋_GB2312"/>
          <w:lang w:val="en-US" w:eastAsia="zh-CN"/>
        </w:rPr>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增加0.09万元，增长100.00%，主要原因是：本年增加老年人医养结合经费。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年初预算数0.00万元，决算数0.09万元，预决算差异率100.00%，主要原因是：年中追加老年人医养结合经费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p>
    <w:p w14:paraId="68A27119">
      <w:pPr>
        <w:spacing w:line="580" w:lineRule="exact"/>
        <w:ind w:firstLine="640"/>
        <w:jc w:val="both"/>
      </w:pPr>
      <w:r>
        <w:rPr>
          <w:rFonts w:ascii="仿宋_GB2312" w:hAnsi="仿宋_GB2312" w:eastAsia="仿宋_GB2312"/>
          <w:b w:val="0"/>
          <w:sz w:val="32"/>
        </w:rPr>
        <w:t>政府性基金预算财政拨款支出0.09万元。</w:t>
      </w:r>
    </w:p>
    <w:p w14:paraId="508BDE17">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1.其他支出(类)彩票公益金安排的支出(款)用于社会福利的彩票公益金支出(项):支出决算数为0.09万元，比上年决算增加0.09万元，增长100.00%,主要原因是：本年增加老年人医养结合经费。</w:t>
      </w:r>
    </w:p>
    <w:p w14:paraId="6357B47F">
      <w:pPr>
        <w:spacing w:line="640" w:lineRule="exact"/>
        <w:ind w:firstLine="640"/>
        <w:jc w:val="both"/>
        <w:outlineLvl w:val="2"/>
      </w:pPr>
      <w:r>
        <w:rPr>
          <w:rFonts w:ascii="黑体" w:hAnsi="黑体" w:eastAsia="黑体"/>
          <w:sz w:val="32"/>
        </w:rPr>
        <w:t>八、国有资本经营预算财政拨款收入支出决算情况说明</w:t>
      </w:r>
    </w:p>
    <w:p w14:paraId="352DBB9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9F32480">
      <w:pPr>
        <w:spacing w:line="640" w:lineRule="exact"/>
        <w:ind w:firstLine="640"/>
        <w:jc w:val="both"/>
        <w:outlineLvl w:val="2"/>
      </w:pPr>
      <w:r>
        <w:rPr>
          <w:rFonts w:ascii="黑体" w:hAnsi="黑体" w:eastAsia="黑体"/>
          <w:sz w:val="32"/>
        </w:rPr>
        <w:t>九、财政拨款“三公”经费支出决算情况说明</w:t>
      </w:r>
    </w:p>
    <w:p w14:paraId="1F23384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70CA670">
      <w:pPr>
        <w:spacing w:line="580" w:lineRule="exact"/>
        <w:ind w:firstLine="640"/>
        <w:jc w:val="both"/>
      </w:pPr>
      <w:r>
        <w:rPr>
          <w:rFonts w:ascii="仿宋_GB2312" w:hAnsi="仿宋_GB2312" w:eastAsia="仿宋_GB2312"/>
          <w:b/>
          <w:sz w:val="32"/>
        </w:rPr>
        <w:t>具体情况如下：</w:t>
      </w:r>
    </w:p>
    <w:p w14:paraId="2B6EAB7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602CA1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业务用车，车辆费用未使用财政拨款公务用车运行维护费支付，由</w:t>
      </w:r>
      <w:r>
        <w:rPr>
          <w:rFonts w:hint="eastAsia" w:ascii="仿宋_GB2312" w:hAnsi="仿宋_GB2312" w:eastAsia="仿宋_GB2312"/>
          <w:b w:val="0"/>
          <w:sz w:val="32"/>
          <w:lang w:val="en-US" w:eastAsia="zh-CN"/>
        </w:rPr>
        <w:t>医疗</w:t>
      </w:r>
      <w:r>
        <w:rPr>
          <w:rFonts w:ascii="仿宋_GB2312" w:hAnsi="仿宋_GB2312" w:eastAsia="仿宋_GB2312"/>
          <w:b w:val="0"/>
          <w:sz w:val="32"/>
        </w:rPr>
        <w:t>经费保障。</w:t>
      </w:r>
    </w:p>
    <w:p w14:paraId="0863BE9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DCA94D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FB6A9C1">
      <w:pPr>
        <w:spacing w:line="640" w:lineRule="exact"/>
        <w:ind w:firstLine="640"/>
        <w:jc w:val="both"/>
        <w:outlineLvl w:val="2"/>
      </w:pPr>
      <w:r>
        <w:rPr>
          <w:rFonts w:ascii="黑体" w:hAnsi="黑体" w:eastAsia="黑体"/>
          <w:sz w:val="32"/>
        </w:rPr>
        <w:t>十、其他重要事项的情况说明</w:t>
      </w:r>
    </w:p>
    <w:p w14:paraId="6490ADAD">
      <w:pPr>
        <w:spacing w:line="640" w:lineRule="exact"/>
        <w:ind w:firstLine="640"/>
        <w:jc w:val="both"/>
        <w:outlineLvl w:val="3"/>
      </w:pPr>
      <w:r>
        <w:rPr>
          <w:rFonts w:ascii="楷体_GB2312" w:hAnsi="楷体_GB2312" w:eastAsia="楷体_GB2312"/>
          <w:b/>
          <w:sz w:val="32"/>
        </w:rPr>
        <w:t>（一）机关运行经费及公用经费支出情况</w:t>
      </w:r>
    </w:p>
    <w:p w14:paraId="76B2D7C4">
      <w:pPr>
        <w:spacing w:line="580" w:lineRule="exact"/>
        <w:ind w:firstLine="640"/>
        <w:jc w:val="both"/>
      </w:pPr>
      <w:r>
        <w:rPr>
          <w:rFonts w:ascii="仿宋_GB2312" w:hAnsi="仿宋_GB2312" w:eastAsia="仿宋_GB2312"/>
          <w:b w:val="0"/>
          <w:sz w:val="32"/>
        </w:rPr>
        <w:t>2024年度且末县库拉木勒克乡卫生院（事业单位）公用经费支出0.00万元，比上年减少5.56万元，下降100.00%，主要原因是：2024年未安排公用经费支出。</w:t>
      </w:r>
    </w:p>
    <w:p w14:paraId="1F211309">
      <w:pPr>
        <w:spacing w:line="640" w:lineRule="exact"/>
        <w:ind w:firstLine="640"/>
        <w:jc w:val="both"/>
        <w:outlineLvl w:val="3"/>
      </w:pPr>
      <w:r>
        <w:rPr>
          <w:rFonts w:ascii="楷体_GB2312" w:hAnsi="楷体_GB2312" w:eastAsia="楷体_GB2312"/>
          <w:b/>
          <w:sz w:val="32"/>
        </w:rPr>
        <w:t>（二）政府采购情况</w:t>
      </w:r>
    </w:p>
    <w:p w14:paraId="4E34D04A">
      <w:pPr>
        <w:spacing w:line="580" w:lineRule="exact"/>
        <w:ind w:firstLine="640"/>
        <w:jc w:val="both"/>
      </w:pPr>
      <w:r>
        <w:rPr>
          <w:rFonts w:ascii="仿宋_GB2312" w:hAnsi="仿宋_GB2312" w:eastAsia="仿宋_GB2312"/>
          <w:b w:val="0"/>
          <w:sz w:val="32"/>
        </w:rPr>
        <w:t>2024年度政府采购支出总额8.20万元，其中：政府采购货物支出1.17万元、政府采购工程支出0.00万元、政府采购服务支出7.03万元。</w:t>
      </w:r>
    </w:p>
    <w:p w14:paraId="42F34534">
      <w:pPr>
        <w:spacing w:line="580" w:lineRule="exact"/>
        <w:ind w:firstLine="640"/>
        <w:jc w:val="both"/>
      </w:pPr>
      <w:r>
        <w:rPr>
          <w:rFonts w:ascii="仿宋_GB2312" w:hAnsi="仿宋_GB2312" w:eastAsia="仿宋_GB2312"/>
          <w:b w:val="0"/>
          <w:sz w:val="32"/>
        </w:rPr>
        <w:t>授予中小企业合同金额7.80万元，占政府采购支出总额的95.12%，其中：授予小微企业合同金额5.87万元，占政府采购支出总额的71.59%。</w:t>
      </w:r>
    </w:p>
    <w:p w14:paraId="5F446A56">
      <w:pPr>
        <w:spacing w:line="640" w:lineRule="exact"/>
        <w:ind w:firstLine="640"/>
        <w:jc w:val="both"/>
        <w:outlineLvl w:val="3"/>
      </w:pPr>
      <w:r>
        <w:rPr>
          <w:rFonts w:ascii="楷体_GB2312" w:hAnsi="楷体_GB2312" w:eastAsia="楷体_GB2312"/>
          <w:b/>
          <w:sz w:val="32"/>
        </w:rPr>
        <w:t>（三）国有资产占用情况说明</w:t>
      </w:r>
    </w:p>
    <w:p w14:paraId="329E35CB">
      <w:pPr>
        <w:spacing w:line="580" w:lineRule="exact"/>
        <w:ind w:firstLine="640"/>
        <w:jc w:val="both"/>
      </w:pPr>
      <w:r>
        <w:rPr>
          <w:rFonts w:ascii="仿宋_GB2312" w:hAnsi="仿宋_GB2312" w:eastAsia="仿宋_GB2312"/>
          <w:b w:val="0"/>
          <w:sz w:val="32"/>
        </w:rPr>
        <w:t>截至2024年12月31日，房屋452.76平方米，价值13.87万元。车辆1辆，价值32.65万元，其中：副部（省）级及以上领导用车0辆、主要负责人用车0辆、机要通信用车0辆、应急保障用车0辆、执法执勤用车0辆、特种专业技术用车0辆、离退休干部服务用车0辆、其他用车1辆，其他用车主要是：单位医疗救护车。单价100万元（含）以上设备（不含车辆）0台（套）。</w:t>
      </w:r>
    </w:p>
    <w:p w14:paraId="0933BCB9">
      <w:pPr>
        <w:spacing w:line="640" w:lineRule="exact"/>
        <w:ind w:firstLine="640"/>
        <w:jc w:val="both"/>
        <w:outlineLvl w:val="2"/>
      </w:pPr>
      <w:r>
        <w:rPr>
          <w:rFonts w:ascii="黑体" w:hAnsi="黑体" w:eastAsia="黑体"/>
          <w:sz w:val="32"/>
        </w:rPr>
        <w:t>十一、预算绩效的情况说明</w:t>
      </w:r>
    </w:p>
    <w:p w14:paraId="43BCA6BB">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590267ED">
      <w:r>
        <w:br w:type="page"/>
      </w:r>
    </w:p>
    <w:p w14:paraId="5FDD6F3F">
      <w:pPr>
        <w:spacing w:line="640" w:lineRule="exact"/>
        <w:ind w:firstLine="640"/>
        <w:jc w:val="both"/>
        <w:outlineLvl w:val="2"/>
      </w:pPr>
      <w:r>
        <w:rPr>
          <w:rFonts w:ascii="黑体" w:hAnsi="黑体" w:eastAsia="黑体"/>
          <w:sz w:val="32"/>
        </w:rPr>
        <w:t>十二、其他需说明的事项</w:t>
      </w:r>
    </w:p>
    <w:p w14:paraId="54A91662">
      <w:pPr>
        <w:spacing w:line="580" w:lineRule="exact"/>
        <w:ind w:firstLine="640"/>
        <w:jc w:val="both"/>
      </w:pPr>
      <w:r>
        <w:rPr>
          <w:rFonts w:ascii="仿宋_GB2312" w:hAnsi="仿宋_GB2312" w:eastAsia="仿宋_GB2312"/>
          <w:b w:val="0"/>
          <w:sz w:val="32"/>
        </w:rPr>
        <w:t>本年度本单位整体绩效自评表由主管部门编报并公开。</w:t>
      </w:r>
    </w:p>
    <w:p w14:paraId="5DCF796D">
      <w:r>
        <w:br w:type="page"/>
      </w:r>
    </w:p>
    <w:p w14:paraId="13CDC4BA">
      <w:pPr>
        <w:spacing w:line="240" w:lineRule="auto"/>
        <w:jc w:val="center"/>
        <w:outlineLvl w:val="1"/>
      </w:pPr>
      <w:r>
        <w:rPr>
          <w:rFonts w:ascii="黑体" w:hAnsi="黑体" w:eastAsia="黑体"/>
          <w:sz w:val="32"/>
        </w:rPr>
        <w:t>第三部分 专业名词解释</w:t>
      </w:r>
    </w:p>
    <w:p w14:paraId="6701A3C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1CED43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1BA7EE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91BD69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AE3669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7A0AD2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526793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B8ACF7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34C128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AEE497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C50E37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48D4D1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5A7310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26F58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AF85D46">
      <w:r>
        <w:br w:type="page"/>
      </w:r>
    </w:p>
    <w:p w14:paraId="3ABFA3D8">
      <w:pPr>
        <w:spacing w:line="240" w:lineRule="auto"/>
        <w:jc w:val="center"/>
        <w:outlineLvl w:val="1"/>
      </w:pPr>
      <w:r>
        <w:rPr>
          <w:rFonts w:ascii="黑体" w:hAnsi="黑体" w:eastAsia="黑体"/>
          <w:sz w:val="32"/>
        </w:rPr>
        <w:t>第四部分 部门决算报表（见附表）</w:t>
      </w:r>
    </w:p>
    <w:p w14:paraId="3FAB8A36">
      <w:pPr>
        <w:spacing w:line="240" w:lineRule="auto"/>
        <w:ind w:firstLine="640"/>
        <w:jc w:val="both"/>
      </w:pPr>
      <w:r>
        <w:rPr>
          <w:rFonts w:ascii="仿宋_GB2312" w:hAnsi="仿宋_GB2312" w:eastAsia="仿宋_GB2312"/>
          <w:b w:val="0"/>
          <w:sz w:val="32"/>
        </w:rPr>
        <w:t>一、《收入支出决算总表》</w:t>
      </w:r>
    </w:p>
    <w:p w14:paraId="1AAC7704">
      <w:pPr>
        <w:spacing w:line="240" w:lineRule="auto"/>
        <w:ind w:firstLine="640"/>
        <w:jc w:val="both"/>
      </w:pPr>
      <w:r>
        <w:rPr>
          <w:rFonts w:ascii="仿宋_GB2312" w:hAnsi="仿宋_GB2312" w:eastAsia="仿宋_GB2312"/>
          <w:b w:val="0"/>
          <w:sz w:val="32"/>
        </w:rPr>
        <w:t>二、《收入决算表》</w:t>
      </w:r>
    </w:p>
    <w:p w14:paraId="732E9E23">
      <w:pPr>
        <w:spacing w:line="240" w:lineRule="auto"/>
        <w:ind w:firstLine="640"/>
        <w:jc w:val="both"/>
      </w:pPr>
      <w:r>
        <w:rPr>
          <w:rFonts w:ascii="仿宋_GB2312" w:hAnsi="仿宋_GB2312" w:eastAsia="仿宋_GB2312"/>
          <w:b w:val="0"/>
          <w:sz w:val="32"/>
        </w:rPr>
        <w:t>三、《支出决算表》</w:t>
      </w:r>
    </w:p>
    <w:p w14:paraId="701D848B">
      <w:pPr>
        <w:spacing w:line="240" w:lineRule="auto"/>
        <w:ind w:firstLine="640"/>
        <w:jc w:val="both"/>
      </w:pPr>
      <w:r>
        <w:rPr>
          <w:rFonts w:ascii="仿宋_GB2312" w:hAnsi="仿宋_GB2312" w:eastAsia="仿宋_GB2312"/>
          <w:b w:val="0"/>
          <w:sz w:val="32"/>
        </w:rPr>
        <w:t>四、《财政拨款收入支出决算总表》</w:t>
      </w:r>
    </w:p>
    <w:p w14:paraId="7679274A">
      <w:pPr>
        <w:spacing w:line="240" w:lineRule="auto"/>
        <w:ind w:firstLine="640"/>
        <w:jc w:val="both"/>
      </w:pPr>
      <w:r>
        <w:rPr>
          <w:rFonts w:ascii="仿宋_GB2312" w:hAnsi="仿宋_GB2312" w:eastAsia="仿宋_GB2312"/>
          <w:b w:val="0"/>
          <w:sz w:val="32"/>
        </w:rPr>
        <w:t>五、《一般公共预算财政拨款支出决算表》</w:t>
      </w:r>
    </w:p>
    <w:p w14:paraId="10C2A8BF">
      <w:pPr>
        <w:spacing w:line="240" w:lineRule="auto"/>
        <w:ind w:firstLine="640"/>
        <w:jc w:val="both"/>
      </w:pPr>
      <w:r>
        <w:rPr>
          <w:rFonts w:ascii="仿宋_GB2312" w:hAnsi="仿宋_GB2312" w:eastAsia="仿宋_GB2312"/>
          <w:b w:val="0"/>
          <w:sz w:val="32"/>
        </w:rPr>
        <w:t>六、《一般公共预算财政拨款基本支出决算表》</w:t>
      </w:r>
    </w:p>
    <w:p w14:paraId="2BB434E2">
      <w:pPr>
        <w:spacing w:line="240" w:lineRule="auto"/>
        <w:ind w:firstLine="640"/>
        <w:jc w:val="both"/>
      </w:pPr>
      <w:r>
        <w:rPr>
          <w:rFonts w:ascii="仿宋_GB2312" w:hAnsi="仿宋_GB2312" w:eastAsia="仿宋_GB2312"/>
          <w:b w:val="0"/>
          <w:sz w:val="32"/>
        </w:rPr>
        <w:t>七、《政府性基金预算财政拨款收入支出决算表》</w:t>
      </w:r>
    </w:p>
    <w:p w14:paraId="07572AAD">
      <w:pPr>
        <w:spacing w:line="240" w:lineRule="auto"/>
        <w:ind w:firstLine="640"/>
        <w:jc w:val="both"/>
      </w:pPr>
      <w:r>
        <w:rPr>
          <w:rFonts w:ascii="仿宋_GB2312" w:hAnsi="仿宋_GB2312" w:eastAsia="仿宋_GB2312"/>
          <w:b w:val="0"/>
          <w:sz w:val="32"/>
        </w:rPr>
        <w:t>八、《国有资本经营预算财政拨款收入支出决算表》</w:t>
      </w:r>
    </w:p>
    <w:p w14:paraId="6D42B818">
      <w:pPr>
        <w:spacing w:line="240" w:lineRule="auto"/>
        <w:ind w:firstLine="640"/>
        <w:jc w:val="both"/>
      </w:pPr>
      <w:r>
        <w:rPr>
          <w:rFonts w:ascii="仿宋_GB2312" w:hAnsi="仿宋_GB2312" w:eastAsia="仿宋_GB2312"/>
          <w:b w:val="0"/>
          <w:sz w:val="32"/>
        </w:rPr>
        <w:t>九、《财政拨款“三公”经费支出决算表》</w:t>
      </w:r>
    </w:p>
    <w:p w14:paraId="5F6DFCE4">
      <w:pPr>
        <w:spacing w:line="240" w:lineRule="auto"/>
        <w:ind w:firstLine="640"/>
        <w:jc w:val="both"/>
      </w:pPr>
    </w:p>
    <w:p w14:paraId="758C5A1B">
      <w:pPr>
        <w:spacing w:line="240" w:lineRule="auto"/>
        <w:ind w:firstLine="640"/>
        <w:jc w:val="both"/>
      </w:pPr>
    </w:p>
    <w:p w14:paraId="2B81164E">
      <w:pPr>
        <w:spacing w:line="240" w:lineRule="auto"/>
        <w:ind w:firstLine="640"/>
        <w:jc w:val="both"/>
      </w:pPr>
    </w:p>
    <w:p w14:paraId="3411B0F4">
      <w:pPr>
        <w:spacing w:line="240" w:lineRule="auto"/>
        <w:ind w:firstLine="640"/>
        <w:jc w:val="both"/>
      </w:pPr>
    </w:p>
    <w:p w14:paraId="6202BD3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EF2128-4459-4D78-A49F-BE4347941B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D0E20D1-2900-4174-B358-CC8B9FF9846A}"/>
  </w:font>
  <w:font w:name="仿宋_GB2312">
    <w:panose1 w:val="02010609030101010101"/>
    <w:charset w:val="86"/>
    <w:family w:val="modern"/>
    <w:pitch w:val="default"/>
    <w:sig w:usb0="00000001" w:usb1="080E0000" w:usb2="00000000" w:usb3="00000000" w:csb0="00040000" w:csb1="00000000"/>
    <w:embedRegular r:id="rId3" w:fontKey="{F4287751-8149-4A45-81A8-1FED6185C931}"/>
  </w:font>
  <w:font w:name="楷体_GB2312">
    <w:panose1 w:val="02010609030101010101"/>
    <w:charset w:val="86"/>
    <w:family w:val="auto"/>
    <w:pitch w:val="default"/>
    <w:sig w:usb0="00000001" w:usb1="080E0000" w:usb2="00000000" w:usb3="00000000" w:csb0="00040000" w:csb1="00000000"/>
    <w:embedRegular r:id="rId4" w:fontKey="{BCAFDA5A-415D-41F6-A568-DA21953341A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3041776"/>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0D56C1C"/>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1339</Words>
  <Characters>1526</Characters>
  <Lines>0</Lines>
  <Paragraphs>0</Paragraphs>
  <TotalTime>4</TotalTime>
  <ScaleCrop>false</ScaleCrop>
  <LinksUpToDate>false</LinksUpToDate>
  <CharactersWithSpaces>1534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2025-09-26T08:48:52Z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