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931C5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且末县妇幼保健与计划生育服务中心2024</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0D4AFC0">
      <w:r>
        <w:br w:type="page"/>
      </w:r>
    </w:p>
    <w:p w14:paraId="77B7EE94">
      <w:pPr>
        <w:spacing w:line="640" w:lineRule="exact"/>
        <w:jc w:val="center"/>
        <w:outlineLvl w:val="1"/>
      </w:pPr>
      <w:r>
        <w:rPr>
          <w:rFonts w:ascii="黑体" w:hAnsi="黑体" w:eastAsia="黑体"/>
          <w:sz w:val="32"/>
        </w:rPr>
        <w:t>第一部分 单位概况</w:t>
      </w:r>
    </w:p>
    <w:p w14:paraId="1626A225">
      <w:pPr>
        <w:spacing w:line="640" w:lineRule="exact"/>
        <w:ind w:firstLine="640"/>
        <w:jc w:val="both"/>
        <w:outlineLvl w:val="2"/>
      </w:pPr>
      <w:r>
        <w:rPr>
          <w:rFonts w:ascii="黑体" w:hAnsi="黑体" w:eastAsia="黑体"/>
          <w:sz w:val="32"/>
        </w:rPr>
        <w:t>一、主要职能</w:t>
      </w:r>
    </w:p>
    <w:p w14:paraId="73166FE5">
      <w:pPr>
        <w:spacing w:line="580" w:lineRule="exact"/>
        <w:ind w:firstLine="640"/>
        <w:jc w:val="both"/>
      </w:pPr>
      <w:r>
        <w:rPr>
          <w:rFonts w:ascii="仿宋_GB2312" w:hAnsi="仿宋_GB2312" w:eastAsia="仿宋_GB2312"/>
          <w:sz w:val="32"/>
        </w:rPr>
        <w:t>（1）掌握本辖区妇女儿童健康状况及影响因素，协助卫生行政部门制定本辖区妇幼卫生工作的相关政策、技术规范及各项规章制度；完成各级政府和卫生行政部门下达的指令性任务。</w:t>
      </w:r>
    </w:p>
    <w:p w14:paraId="24D1879C">
      <w:pPr>
        <w:spacing w:line="580" w:lineRule="exact"/>
        <w:ind w:firstLine="640"/>
        <w:jc w:val="both"/>
      </w:pPr>
      <w:r>
        <w:rPr>
          <w:rFonts w:ascii="仿宋_GB2312" w:hAnsi="仿宋_GB2312" w:eastAsia="仿宋_GB2312"/>
          <w:sz w:val="32"/>
        </w:rPr>
        <w:t>（2）负责开展本辖区的妇幼保健教育与健康促进工作；组织实施本辖区母婴保健技术培训，对乡级医疗保健人员开展业务指导培训，并提供技术支持。</w:t>
      </w:r>
    </w:p>
    <w:p w14:paraId="3C2D3232">
      <w:pPr>
        <w:spacing w:line="580" w:lineRule="exact"/>
        <w:ind w:firstLine="640"/>
        <w:jc w:val="both"/>
      </w:pPr>
      <w:r>
        <w:rPr>
          <w:rFonts w:ascii="仿宋_GB2312" w:hAnsi="仿宋_GB2312" w:eastAsia="仿宋_GB2312"/>
          <w:sz w:val="32"/>
        </w:rPr>
        <w:t>（3）负责本辖区孕产妇死亡、婴儿及5岁以下儿童死亡、出生缺陷监测、妇幼卫生服务及技术管理等信息的收集、统计、分析、质量控制和汇总上报。</w:t>
      </w:r>
    </w:p>
    <w:p w14:paraId="3881C24F">
      <w:pPr>
        <w:spacing w:line="580" w:lineRule="exact"/>
        <w:ind w:firstLine="640"/>
        <w:jc w:val="both"/>
      </w:pPr>
      <w:r>
        <w:rPr>
          <w:rFonts w:ascii="仿宋_GB2312" w:hAnsi="仿宋_GB2312" w:eastAsia="仿宋_GB2312"/>
          <w:sz w:val="32"/>
        </w:rPr>
        <w:t>（4）负责妇女保健服务，包括青春期保健、婚前和孕前保健、孕产期保健、更年期保健、老年期保健、心理卫生咨询、营养指导、</w:t>
      </w:r>
      <w:r>
        <w:rPr>
          <w:rFonts w:hint="eastAsia" w:ascii="仿宋_GB2312" w:hAnsi="仿宋_GB2312" w:eastAsia="仿宋_GB2312"/>
          <w:sz w:val="32"/>
          <w:lang w:eastAsia="zh-CN"/>
        </w:rPr>
        <w:t>JHSY</w:t>
      </w:r>
      <w:r>
        <w:rPr>
          <w:rFonts w:ascii="仿宋_GB2312" w:hAnsi="仿宋_GB2312" w:eastAsia="仿宋_GB2312"/>
          <w:sz w:val="32"/>
        </w:rPr>
        <w:t>技术服务、生殖道感染、性传播疾病等妇女常见病防治宣传。</w:t>
      </w:r>
    </w:p>
    <w:p w14:paraId="3E5CD48C">
      <w:pPr>
        <w:spacing w:line="580" w:lineRule="exact"/>
        <w:ind w:firstLine="640"/>
        <w:jc w:val="both"/>
      </w:pPr>
      <w:r>
        <w:rPr>
          <w:rFonts w:ascii="仿宋_GB2312" w:hAnsi="仿宋_GB2312" w:eastAsia="仿宋_GB2312"/>
          <w:sz w:val="32"/>
        </w:rPr>
        <w:t>（5）负责儿童保健服务，包括胎儿期、新生儿期、婴幼儿期、学龄前期及学龄期的早期综合发展、营养与喂养指导、生长发育监测、心理行为咨询等服务。</w:t>
      </w:r>
    </w:p>
    <w:p w14:paraId="494F3773">
      <w:pPr>
        <w:spacing w:line="580" w:lineRule="exact"/>
        <w:ind w:firstLine="640"/>
        <w:jc w:val="both"/>
      </w:pPr>
      <w:r>
        <w:rPr>
          <w:rFonts w:ascii="仿宋_GB2312" w:hAnsi="仿宋_GB2312" w:eastAsia="仿宋_GB2312"/>
          <w:sz w:val="32"/>
        </w:rPr>
        <w:t>（6）宣传国家和自治区的人口</w:t>
      </w:r>
      <w:r>
        <w:rPr>
          <w:rFonts w:hint="eastAsia" w:ascii="仿宋_GB2312" w:hAnsi="仿宋_GB2312" w:eastAsia="仿宋_GB2312"/>
          <w:sz w:val="32"/>
          <w:lang w:eastAsia="zh-CN"/>
        </w:rPr>
        <w:t>JHSY</w:t>
      </w:r>
      <w:r>
        <w:rPr>
          <w:rFonts w:ascii="仿宋_GB2312" w:hAnsi="仿宋_GB2312" w:eastAsia="仿宋_GB2312"/>
          <w:sz w:val="32"/>
        </w:rPr>
        <w:t>政策，普及人口理论和避孕节育优生优育科学知识，不断推进社会主义新型生育文化。</w:t>
      </w:r>
    </w:p>
    <w:p w14:paraId="49F51BCC">
      <w:pPr>
        <w:spacing w:line="580" w:lineRule="exact"/>
        <w:ind w:firstLine="640"/>
        <w:jc w:val="both"/>
      </w:pPr>
      <w:r>
        <w:rPr>
          <w:rFonts w:ascii="仿宋_GB2312" w:hAnsi="仿宋_GB2312" w:eastAsia="仿宋_GB2312"/>
          <w:sz w:val="32"/>
        </w:rPr>
        <w:t>（7）实施全县避孕节育、优生优育、妇幼保健等有关</w:t>
      </w:r>
      <w:r>
        <w:rPr>
          <w:rFonts w:hint="eastAsia" w:ascii="仿宋_GB2312" w:hAnsi="仿宋_GB2312" w:eastAsia="仿宋_GB2312"/>
          <w:sz w:val="32"/>
          <w:lang w:eastAsia="zh-CN"/>
        </w:rPr>
        <w:t>JHSY</w:t>
      </w:r>
      <w:r>
        <w:rPr>
          <w:rFonts w:ascii="仿宋_GB2312" w:hAnsi="仿宋_GB2312" w:eastAsia="仿宋_GB2312"/>
          <w:sz w:val="32"/>
        </w:rPr>
        <w:t>技术服务的规划、计划，负责人口和</w:t>
      </w:r>
      <w:r>
        <w:rPr>
          <w:rFonts w:hint="eastAsia" w:ascii="仿宋_GB2312" w:hAnsi="仿宋_GB2312" w:eastAsia="仿宋_GB2312"/>
          <w:sz w:val="32"/>
          <w:lang w:eastAsia="zh-CN"/>
        </w:rPr>
        <w:t>JHSY</w:t>
      </w:r>
      <w:r>
        <w:rPr>
          <w:rFonts w:ascii="仿宋_GB2312" w:hAnsi="仿宋_GB2312" w:eastAsia="仿宋_GB2312"/>
          <w:sz w:val="32"/>
        </w:rPr>
        <w:t>技术服务项目的推广和应用。</w:t>
      </w:r>
    </w:p>
    <w:p w14:paraId="346E03ED">
      <w:pPr>
        <w:spacing w:line="580" w:lineRule="exact"/>
        <w:ind w:firstLine="640"/>
        <w:jc w:val="both"/>
      </w:pPr>
      <w:r>
        <w:rPr>
          <w:rFonts w:ascii="仿宋_GB2312" w:hAnsi="仿宋_GB2312" w:eastAsia="仿宋_GB2312"/>
          <w:sz w:val="32"/>
        </w:rPr>
        <w:t>（8）开展避孕节育、优生优育、妇幼保健等技术咨询和服务，负责婴幼儿孕育、出生、死亡、智力等调查分析。</w:t>
      </w:r>
    </w:p>
    <w:p w14:paraId="4BA302B0">
      <w:pPr>
        <w:spacing w:line="580" w:lineRule="exact"/>
        <w:ind w:firstLine="640"/>
        <w:jc w:val="both"/>
      </w:pPr>
      <w:r>
        <w:rPr>
          <w:rFonts w:ascii="仿宋_GB2312" w:hAnsi="仿宋_GB2312" w:eastAsia="仿宋_GB2312"/>
          <w:sz w:val="32"/>
        </w:rPr>
        <w:t>（9）承办上级主管部门交办的</w:t>
      </w:r>
      <w:r>
        <w:rPr>
          <w:rFonts w:hint="eastAsia" w:ascii="仿宋_GB2312" w:hAnsi="仿宋_GB2312" w:eastAsia="仿宋_GB2312"/>
          <w:sz w:val="32"/>
          <w:lang w:eastAsia="zh-CN"/>
        </w:rPr>
        <w:t>其他</w:t>
      </w:r>
      <w:r>
        <w:rPr>
          <w:rFonts w:ascii="仿宋_GB2312" w:hAnsi="仿宋_GB2312" w:eastAsia="仿宋_GB2312"/>
          <w:sz w:val="32"/>
        </w:rPr>
        <w:t>工作。</w:t>
      </w:r>
    </w:p>
    <w:p w14:paraId="08C9BF53">
      <w:pPr>
        <w:spacing w:line="640" w:lineRule="exact"/>
        <w:ind w:firstLine="640"/>
        <w:jc w:val="both"/>
        <w:outlineLvl w:val="2"/>
      </w:pPr>
      <w:r>
        <w:rPr>
          <w:rFonts w:ascii="黑体" w:hAnsi="黑体" w:eastAsia="黑体"/>
          <w:sz w:val="32"/>
        </w:rPr>
        <w:t>二、机构设置及人员情况</w:t>
      </w:r>
    </w:p>
    <w:p w14:paraId="5451ADB7">
      <w:pPr>
        <w:spacing w:line="580" w:lineRule="exact"/>
        <w:ind w:firstLine="640"/>
        <w:jc w:val="both"/>
      </w:pPr>
      <w:r>
        <w:rPr>
          <w:rFonts w:ascii="仿宋_GB2312" w:hAnsi="仿宋_GB2312" w:eastAsia="仿宋_GB2312"/>
          <w:sz w:val="32"/>
        </w:rPr>
        <w:t>且末县妇幼保健与计划生育服务中心2024年度，实有人数52人，其中：在职人员27人，减少4人；离休人员0人，增加0人；退休人员25人,增加4人。</w:t>
      </w:r>
    </w:p>
    <w:p w14:paraId="5C75AA6C">
      <w:pPr>
        <w:spacing w:line="580" w:lineRule="exact"/>
        <w:ind w:firstLine="640"/>
        <w:jc w:val="both"/>
      </w:pPr>
      <w:r>
        <w:rPr>
          <w:rFonts w:ascii="仿宋_GB2312" w:hAnsi="仿宋_GB2312" w:eastAsia="仿宋_GB2312"/>
          <w:sz w:val="32"/>
        </w:rPr>
        <w:t>且末县妇幼保健与计划生育服务中心无下属预算单位，下设11个科室，分别是：预防保健科、内科、妇产科、妇女保健科、儿童保健科、医学检验科、医学影像科、中医科、办公室、药房、财务室。</w:t>
      </w:r>
    </w:p>
    <w:p w14:paraId="3E204A5B">
      <w:r>
        <w:br w:type="page"/>
      </w:r>
    </w:p>
    <w:p w14:paraId="4A6243C9">
      <w:pPr>
        <w:spacing w:line="240" w:lineRule="auto"/>
        <w:jc w:val="center"/>
        <w:outlineLvl w:val="1"/>
      </w:pPr>
      <w:r>
        <w:rPr>
          <w:rFonts w:ascii="黑体" w:hAnsi="黑体" w:eastAsia="黑体"/>
          <w:sz w:val="32"/>
        </w:rPr>
        <w:t>第二部分 部门决算情况说明</w:t>
      </w:r>
    </w:p>
    <w:p w14:paraId="326A6DC6">
      <w:pPr>
        <w:spacing w:line="640" w:lineRule="exact"/>
        <w:ind w:firstLine="640"/>
        <w:jc w:val="both"/>
        <w:outlineLvl w:val="2"/>
      </w:pPr>
      <w:r>
        <w:rPr>
          <w:rFonts w:ascii="黑体" w:hAnsi="黑体" w:eastAsia="黑体"/>
          <w:sz w:val="32"/>
        </w:rPr>
        <w:t>一、收入支出决算总体情况说明</w:t>
      </w:r>
    </w:p>
    <w:p w14:paraId="23FE8867">
      <w:pPr>
        <w:spacing w:line="580" w:lineRule="exact"/>
        <w:ind w:firstLine="640"/>
        <w:jc w:val="both"/>
      </w:pPr>
      <w:r>
        <w:rPr>
          <w:rFonts w:ascii="仿宋_GB2312" w:hAnsi="仿宋_GB2312" w:eastAsia="仿宋_GB2312"/>
          <w:b/>
          <w:sz w:val="32"/>
        </w:rPr>
        <w:t>2024年度收入总计679.64万元，</w:t>
      </w:r>
      <w:r>
        <w:rPr>
          <w:rFonts w:ascii="仿宋_GB2312" w:hAnsi="仿宋_GB2312" w:eastAsia="仿宋_GB2312"/>
          <w:b w:val="0"/>
          <w:sz w:val="32"/>
        </w:rPr>
        <w:t>其中：本年收入合计628.74万元，使用非财政拨款结余（含专用结余）0.00万元，年初结转和结余50.90万元。</w:t>
      </w:r>
    </w:p>
    <w:p w14:paraId="3548A7D5">
      <w:pPr>
        <w:spacing w:line="580" w:lineRule="exact"/>
        <w:ind w:firstLine="640"/>
        <w:jc w:val="both"/>
      </w:pPr>
      <w:r>
        <w:rPr>
          <w:rFonts w:ascii="仿宋_GB2312" w:hAnsi="仿宋_GB2312" w:eastAsia="仿宋_GB2312"/>
          <w:b/>
          <w:sz w:val="32"/>
        </w:rPr>
        <w:t>2024年度支出总计679.64万元，</w:t>
      </w:r>
      <w:r>
        <w:rPr>
          <w:rFonts w:ascii="仿宋_GB2312" w:hAnsi="仿宋_GB2312" w:eastAsia="仿宋_GB2312"/>
          <w:b w:val="0"/>
          <w:sz w:val="32"/>
        </w:rPr>
        <w:t>其中：本年支出合计676.85万元，结余分配0.00万元，年末结转和结余2.79万元。</w:t>
      </w:r>
    </w:p>
    <w:p w14:paraId="3818E469">
      <w:pPr>
        <w:spacing w:line="580" w:lineRule="exact"/>
        <w:ind w:firstLine="640"/>
        <w:jc w:val="both"/>
      </w:pPr>
      <w:r>
        <w:rPr>
          <w:rFonts w:ascii="仿宋_GB2312" w:hAnsi="仿宋_GB2312" w:eastAsia="仿宋_GB2312"/>
          <w:b w:val="0"/>
          <w:sz w:val="32"/>
        </w:rPr>
        <w:t>收入支出总体与上年相比，减少97.20万元，下降12.51%，主要原因是：一是宫颈癌接种人数减少，医疗经费减少；二是本年在职人员减少，相关人员经费较上年减少。</w:t>
      </w:r>
    </w:p>
    <w:p w14:paraId="61454AA6">
      <w:pPr>
        <w:spacing w:line="640" w:lineRule="exact"/>
        <w:ind w:firstLine="640"/>
        <w:jc w:val="both"/>
        <w:outlineLvl w:val="2"/>
      </w:pPr>
      <w:r>
        <w:rPr>
          <w:rFonts w:ascii="黑体" w:hAnsi="黑体" w:eastAsia="黑体"/>
          <w:sz w:val="32"/>
        </w:rPr>
        <w:t>二、收入决算情况说明</w:t>
      </w:r>
    </w:p>
    <w:p w14:paraId="4D28611D">
      <w:pPr>
        <w:spacing w:line="580" w:lineRule="exact"/>
        <w:ind w:firstLine="640"/>
        <w:jc w:val="both"/>
      </w:pPr>
      <w:r>
        <w:rPr>
          <w:rFonts w:ascii="仿宋_GB2312" w:hAnsi="仿宋_GB2312" w:eastAsia="仿宋_GB2312"/>
          <w:b/>
          <w:sz w:val="32"/>
        </w:rPr>
        <w:t>本年收入628.74万元，</w:t>
      </w:r>
      <w:r>
        <w:rPr>
          <w:rFonts w:ascii="仿宋_GB2312" w:hAnsi="仿宋_GB2312" w:eastAsia="仿宋_GB2312"/>
          <w:b w:val="0"/>
          <w:sz w:val="32"/>
        </w:rPr>
        <w:t>其中：财政拨款收入582.44万元，占92.64%；上级补助收入0.00万元，占0.00%；事业收入46.30万元，占7.36%；经营收入0.00万元，占0.00%；附属单位上缴收入0.00万元，占0.00%；其他收入0.00万元，占0.00%。</w:t>
      </w:r>
    </w:p>
    <w:p w14:paraId="594CAA3E">
      <w:pPr>
        <w:spacing w:line="640" w:lineRule="exact"/>
        <w:ind w:firstLine="640"/>
        <w:jc w:val="both"/>
        <w:outlineLvl w:val="2"/>
      </w:pPr>
      <w:r>
        <w:rPr>
          <w:rFonts w:ascii="黑体" w:hAnsi="黑体" w:eastAsia="黑体"/>
          <w:sz w:val="32"/>
        </w:rPr>
        <w:t>三、支出决算情况说明</w:t>
      </w:r>
    </w:p>
    <w:p w14:paraId="06E1B5C9">
      <w:pPr>
        <w:spacing w:line="580" w:lineRule="exact"/>
        <w:ind w:firstLine="640"/>
        <w:jc w:val="both"/>
      </w:pPr>
      <w:r>
        <w:rPr>
          <w:rFonts w:ascii="仿宋_GB2312" w:hAnsi="仿宋_GB2312" w:eastAsia="仿宋_GB2312"/>
          <w:b/>
          <w:sz w:val="32"/>
        </w:rPr>
        <w:t>本年支出676.85万元，</w:t>
      </w:r>
      <w:r>
        <w:rPr>
          <w:rFonts w:ascii="仿宋_GB2312" w:hAnsi="仿宋_GB2312" w:eastAsia="仿宋_GB2312"/>
          <w:b w:val="0"/>
          <w:sz w:val="32"/>
        </w:rPr>
        <w:t>其中：基本支出639.95万元，占94.55%；项目支出36.89万元，占5.45%；上缴上级支出0.00万元，占0.00%；经营支出0.00万元，占0.00%；对附属单位补助支出0.00万元，占0.00%。</w:t>
      </w:r>
    </w:p>
    <w:p w14:paraId="07FD1EDC">
      <w:pPr>
        <w:spacing w:line="640" w:lineRule="exact"/>
        <w:ind w:firstLine="640"/>
        <w:jc w:val="both"/>
        <w:outlineLvl w:val="2"/>
      </w:pPr>
      <w:r>
        <w:rPr>
          <w:rFonts w:ascii="黑体" w:hAnsi="黑体" w:eastAsia="黑体"/>
          <w:sz w:val="32"/>
        </w:rPr>
        <w:t>四、财政拨款收入支出决算总体情况说明</w:t>
      </w:r>
    </w:p>
    <w:p w14:paraId="7F128F3A">
      <w:pPr>
        <w:spacing w:line="580" w:lineRule="exact"/>
        <w:ind w:firstLine="640"/>
        <w:jc w:val="both"/>
      </w:pPr>
      <w:r>
        <w:rPr>
          <w:rFonts w:ascii="仿宋_GB2312" w:hAnsi="仿宋_GB2312" w:eastAsia="仿宋_GB2312"/>
          <w:b/>
          <w:sz w:val="32"/>
        </w:rPr>
        <w:t>2024年度财政拨款收入总计582.44万元，</w:t>
      </w:r>
      <w:r>
        <w:rPr>
          <w:rFonts w:ascii="仿宋_GB2312" w:hAnsi="仿宋_GB2312" w:eastAsia="仿宋_GB2312"/>
          <w:b w:val="0"/>
          <w:sz w:val="32"/>
        </w:rPr>
        <w:t>其中：年初财政拨款结转和结余0.00万元，本年财政拨款收入582.44万元。</w:t>
      </w:r>
      <w:r>
        <w:rPr>
          <w:rFonts w:ascii="仿宋_GB2312" w:hAnsi="仿宋_GB2312" w:eastAsia="仿宋_GB2312"/>
          <w:b/>
          <w:sz w:val="32"/>
        </w:rPr>
        <w:t>财政拨款支出总计582.44万元，</w:t>
      </w:r>
      <w:r>
        <w:rPr>
          <w:rFonts w:ascii="仿宋_GB2312" w:hAnsi="仿宋_GB2312" w:eastAsia="仿宋_GB2312"/>
          <w:b w:val="0"/>
          <w:sz w:val="32"/>
        </w:rPr>
        <w:t>其中：年末财政拨款结转和结余0.00万元，本年财政拨款支出582.44万元。</w:t>
      </w:r>
    </w:p>
    <w:p w14:paraId="3A49641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减少46.02万元，下降7.32%，主要原因是：本年在职人员减少，相关人员经费较上年减少。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年初预算数565.15万元，决算数582.44万元，预决算差异率3.06%，主要原因是：年中追加人员工资、社保、公积金基数调增部分资金，导致预决算存在差异。</w:t>
      </w:r>
    </w:p>
    <w:p w14:paraId="2DE67F57">
      <w:pPr>
        <w:spacing w:line="640" w:lineRule="exact"/>
        <w:ind w:firstLine="640"/>
        <w:jc w:val="both"/>
        <w:outlineLvl w:val="2"/>
      </w:pPr>
      <w:r>
        <w:rPr>
          <w:rFonts w:ascii="黑体" w:hAnsi="黑体" w:eastAsia="黑体"/>
          <w:sz w:val="32"/>
        </w:rPr>
        <w:t>五、一般公共预算财政拨款支出决算情况说明</w:t>
      </w:r>
    </w:p>
    <w:p w14:paraId="529CB962">
      <w:pPr>
        <w:spacing w:line="640" w:lineRule="exact"/>
        <w:ind w:firstLine="640"/>
        <w:jc w:val="both"/>
        <w:outlineLvl w:val="3"/>
      </w:pPr>
      <w:r>
        <w:rPr>
          <w:rFonts w:ascii="楷体_GB2312" w:hAnsi="楷体_GB2312" w:eastAsia="楷体_GB2312"/>
          <w:b/>
          <w:sz w:val="32"/>
        </w:rPr>
        <w:t>（一）一般公共预算财政拨款支出决算总体情况</w:t>
      </w:r>
    </w:p>
    <w:p w14:paraId="217193C0">
      <w:pPr>
        <w:spacing w:line="580" w:lineRule="exact"/>
        <w:ind w:firstLine="640"/>
        <w:jc w:val="both"/>
      </w:pPr>
      <w:r>
        <w:rPr>
          <w:rFonts w:ascii="仿宋_GB2312" w:hAnsi="仿宋_GB2312" w:eastAsia="仿宋_GB2312"/>
          <w:b/>
          <w:sz w:val="32"/>
        </w:rPr>
        <w:t>2024年度一般公共预算财政拨款支出579.44万元，</w:t>
      </w:r>
      <w:r>
        <w:rPr>
          <w:rFonts w:ascii="仿宋_GB2312" w:hAnsi="仿宋_GB2312" w:eastAsia="仿宋_GB2312"/>
          <w:b w:val="0"/>
          <w:sz w:val="32"/>
        </w:rPr>
        <w:t>占本年支出合计的85.61%。</w:t>
      </w:r>
      <w:r>
        <w:rPr>
          <w:rFonts w:ascii="仿宋_GB2312" w:hAnsi="仿宋_GB2312" w:eastAsia="仿宋_GB2312"/>
          <w:b/>
          <w:sz w:val="32"/>
        </w:rPr>
        <w:t>与上年相比，</w:t>
      </w:r>
      <w:r>
        <w:rPr>
          <w:rFonts w:ascii="仿宋_GB2312" w:hAnsi="仿宋_GB2312" w:eastAsia="仿宋_GB2312"/>
          <w:b w:val="0"/>
          <w:sz w:val="32"/>
        </w:rPr>
        <w:t>减少49.02万元，下降7.80%，主要原因是：本年在职人员减少，相关人员经费较上年减少。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年初预算数565.15万元，决算数579.44万元，预决算差异率2.53%，主要原因是：年中追加人员工资、社保、公积金基数调增部分资金，导致预决算存在差异。</w:t>
      </w:r>
    </w:p>
    <w:p w14:paraId="0E2D51F9">
      <w:pPr>
        <w:spacing w:line="640" w:lineRule="exact"/>
        <w:ind w:firstLine="640"/>
        <w:jc w:val="both"/>
        <w:outlineLvl w:val="3"/>
      </w:pPr>
      <w:r>
        <w:rPr>
          <w:rFonts w:ascii="楷体_GB2312" w:hAnsi="楷体_GB2312" w:eastAsia="楷体_GB2312"/>
          <w:b/>
          <w:sz w:val="32"/>
        </w:rPr>
        <w:t>（二）一般公共预算财政拨款支出决算结构情况</w:t>
      </w:r>
    </w:p>
    <w:p w14:paraId="41585B99">
      <w:pPr>
        <w:spacing w:line="580" w:lineRule="exact"/>
        <w:ind w:firstLine="640"/>
        <w:jc w:val="both"/>
      </w:pPr>
      <w:r>
        <w:rPr>
          <w:rFonts w:ascii="仿宋_GB2312" w:hAnsi="仿宋_GB2312" w:eastAsia="仿宋_GB2312"/>
          <w:b w:val="0"/>
          <w:sz w:val="32"/>
        </w:rPr>
        <w:t>1.社会保障和就业支出(类)105.61万元,占18.23%。</w:t>
      </w:r>
    </w:p>
    <w:p w14:paraId="563A0D6E">
      <w:pPr>
        <w:spacing w:line="580" w:lineRule="exact"/>
        <w:ind w:firstLine="640"/>
        <w:jc w:val="both"/>
      </w:pPr>
      <w:r>
        <w:rPr>
          <w:rFonts w:ascii="仿宋_GB2312" w:hAnsi="仿宋_GB2312" w:eastAsia="仿宋_GB2312"/>
          <w:b w:val="0"/>
          <w:sz w:val="32"/>
        </w:rPr>
        <w:t>2.卫生健康支出(类)430.80万元,占74.35%。</w:t>
      </w:r>
    </w:p>
    <w:p w14:paraId="745CD589">
      <w:pPr>
        <w:spacing w:line="580" w:lineRule="exact"/>
        <w:ind w:firstLine="640"/>
        <w:jc w:val="both"/>
      </w:pPr>
      <w:r>
        <w:rPr>
          <w:rFonts w:ascii="仿宋_GB2312" w:hAnsi="仿宋_GB2312" w:eastAsia="仿宋_GB2312"/>
          <w:b w:val="0"/>
          <w:sz w:val="32"/>
        </w:rPr>
        <w:t>3.住房保障支出(类)43.03万元,占7.43%。</w:t>
      </w:r>
    </w:p>
    <w:p w14:paraId="5913DD14">
      <w:pPr>
        <w:spacing w:line="640" w:lineRule="exact"/>
        <w:ind w:firstLine="640"/>
        <w:jc w:val="both"/>
        <w:outlineLvl w:val="3"/>
      </w:pPr>
      <w:r>
        <w:rPr>
          <w:rFonts w:ascii="楷体_GB2312" w:hAnsi="楷体_GB2312" w:eastAsia="楷体_GB2312"/>
          <w:b/>
          <w:sz w:val="32"/>
        </w:rPr>
        <w:t>（三）一般公共预算财政拨款支出决算具体情况</w:t>
      </w:r>
    </w:p>
    <w:p w14:paraId="131B8E6A">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1.社会保障和就业支出(类)行政事业单位养老支出(款)事业单位离退休(项):支出决算数为16.56万元，比上年决算增加5.06万元，增长44.00%,主要原因是：本年在职转退休4人，退休费支出增加。</w:t>
      </w:r>
    </w:p>
    <w:p w14:paraId="7DE0822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53.58万元，比上年决算增加1.69万元，增长3.26%,主要原因是：本年在职人员工资基数调增，养老缴费基数上涨，相应支出增加。</w:t>
      </w:r>
    </w:p>
    <w:p w14:paraId="7CC798C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3.社会保障和就业支出(类)行政事业单位养老支出(款)机关事业单位职业年金缴费支出(项):支出决算数为35.47万元，比上年决算增加29.64万元，增长508.40%,主要原因是：本年在职转退休4人，职业年金缴费支出增加。</w:t>
      </w:r>
    </w:p>
    <w:p w14:paraId="00DA6000">
      <w:pPr>
        <w:spacing w:line="580" w:lineRule="exact"/>
        <w:ind w:firstLine="640"/>
        <w:jc w:val="both"/>
      </w:pPr>
      <w:r>
        <w:rPr>
          <w:rFonts w:ascii="仿宋_GB2312" w:hAnsi="仿宋_GB2312" w:eastAsia="仿宋_GB2312"/>
          <w:b w:val="0"/>
          <w:sz w:val="32"/>
        </w:rPr>
        <w:t>4.卫生健康支出(类)公共卫生(款)妇幼保健机构(项):支出决算数为372.17万元，比上年决算减少91.11万元，下降19.67%,主要原因是：本年在职人员减少，相关人员经费较上年减少。</w:t>
      </w:r>
    </w:p>
    <w:p w14:paraId="735059E9">
      <w:pPr>
        <w:spacing w:line="580" w:lineRule="exact"/>
        <w:ind w:firstLine="640"/>
        <w:jc w:val="both"/>
      </w:pPr>
      <w:r>
        <w:rPr>
          <w:rFonts w:ascii="仿宋_GB2312" w:hAnsi="仿宋_GB2312" w:eastAsia="仿宋_GB2312"/>
          <w:b w:val="0"/>
          <w:sz w:val="32"/>
        </w:rPr>
        <w:t>5.卫生健康支出(类)公共卫生(款)基本公共卫生服务(项):支出决算数为14.00万元，比上年决算减少1.00万元，下降6.67%,主要原因是：2024年单位本着节约开支的原则，基本公共卫生项目各项支出减少。</w:t>
      </w:r>
    </w:p>
    <w:p w14:paraId="278F249A">
      <w:pPr>
        <w:spacing w:line="580" w:lineRule="exact"/>
        <w:ind w:firstLine="640"/>
        <w:jc w:val="both"/>
      </w:pPr>
      <w:r>
        <w:rPr>
          <w:rFonts w:ascii="仿宋_GB2312" w:hAnsi="仿宋_GB2312" w:eastAsia="仿宋_GB2312"/>
          <w:b w:val="0"/>
          <w:sz w:val="32"/>
        </w:rPr>
        <w:t>6.卫生健康支出(类)公共卫生(款)重大公共卫生服务(项):支出决算数为8.70万元，比上年决算减少0.30万元，下降3.33%,主要原因是：2024年单位本着节约开支的原则，重大公共卫生项目各项支出减少。</w:t>
      </w:r>
    </w:p>
    <w:p w14:paraId="4BCCC9A2">
      <w:pPr>
        <w:spacing w:line="580" w:lineRule="exact"/>
        <w:ind w:firstLine="640"/>
        <w:jc w:val="both"/>
      </w:pPr>
      <w:r>
        <w:rPr>
          <w:rFonts w:ascii="仿宋_GB2312" w:hAnsi="仿宋_GB2312" w:eastAsia="仿宋_GB2312"/>
          <w:b w:val="0"/>
          <w:sz w:val="32"/>
        </w:rPr>
        <w:t>7.卫生健康支出(类)计划生育事务(款)计划生育服务(项):支出决算数为11.19万元，比上年决算增加8.19万元，增长273.00%,主要原因是：单位开展的</w:t>
      </w:r>
      <w:r>
        <w:rPr>
          <w:rFonts w:hint="eastAsia" w:ascii="仿宋_GB2312" w:hAnsi="仿宋_GB2312" w:eastAsia="仿宋_GB2312"/>
          <w:b w:val="0"/>
          <w:sz w:val="32"/>
          <w:lang w:eastAsia="zh-CN"/>
        </w:rPr>
        <w:t>JHSY</w:t>
      </w:r>
      <w:r>
        <w:rPr>
          <w:rFonts w:ascii="仿宋_GB2312" w:hAnsi="仿宋_GB2312" w:eastAsia="仿宋_GB2312"/>
          <w:b w:val="0"/>
          <w:sz w:val="32"/>
        </w:rPr>
        <w:t>服务人数增加，经费增加。</w:t>
      </w:r>
    </w:p>
    <w:p w14:paraId="11E97F3D">
      <w:pPr>
        <w:spacing w:line="580" w:lineRule="exact"/>
        <w:ind w:firstLine="640"/>
        <w:jc w:val="both"/>
      </w:pPr>
      <w:r>
        <w:rPr>
          <w:rFonts w:ascii="仿宋_GB2312" w:hAnsi="仿宋_GB2312" w:eastAsia="仿宋_GB2312"/>
          <w:b w:val="0"/>
          <w:sz w:val="32"/>
        </w:rPr>
        <w:t>8.卫生健康支出(类)行政事业单位医疗(款)事业单位医疗(项):支出决算数为24.74万元，比上年决算增加0.62万元，增长2.57%,主要原因是：本年在职人员工资基数调增，医疗缴费基数上涨，相应支出增加。</w:t>
      </w:r>
    </w:p>
    <w:p w14:paraId="236EC1A8">
      <w:pPr>
        <w:spacing w:line="580" w:lineRule="exact"/>
        <w:ind w:firstLine="640"/>
        <w:jc w:val="both"/>
      </w:pPr>
      <w:r>
        <w:rPr>
          <w:rFonts w:ascii="仿宋_GB2312" w:hAnsi="仿宋_GB2312" w:eastAsia="仿宋_GB2312"/>
          <w:b w:val="0"/>
          <w:sz w:val="32"/>
        </w:rPr>
        <w:t>9.住房保障支出(类)住房改革支出(款)住房公积金(项):支出决算数为43.03万元，比上年决算增加3.20万元，增长8.03%,主要原因是：在职人员工资调增，住房公积金缴费增加。</w:t>
      </w:r>
    </w:p>
    <w:p w14:paraId="27004612">
      <w:pPr>
        <w:spacing w:line="580" w:lineRule="exact"/>
        <w:ind w:firstLine="640"/>
        <w:jc w:val="both"/>
      </w:pPr>
      <w:r>
        <w:rPr>
          <w:rFonts w:ascii="仿宋_GB2312" w:hAnsi="仿宋_GB2312" w:eastAsia="仿宋_GB2312"/>
          <w:b w:val="0"/>
          <w:sz w:val="32"/>
        </w:rPr>
        <w:t>10.其他支出(类)其他支出(款)其他支出(项):支出决算数为0.00万元，比上年决算减少5.00万元，下降100.00%,主要原因是：</w:t>
      </w:r>
      <w:r>
        <w:rPr>
          <w:rFonts w:hint="eastAsia" w:ascii="仿宋_GB2312" w:hAnsi="仿宋_GB2312" w:eastAsia="仿宋_GB2312"/>
          <w:b w:val="0"/>
          <w:sz w:val="32"/>
          <w:lang w:val="en-US" w:eastAsia="zh-CN"/>
        </w:rPr>
        <w:t>本年减少</w:t>
      </w:r>
      <w:r>
        <w:rPr>
          <w:rFonts w:ascii="仿宋_GB2312" w:hAnsi="仿宋_GB2312" w:eastAsia="仿宋_GB2312"/>
          <w:b w:val="0"/>
          <w:sz w:val="32"/>
        </w:rPr>
        <w:t>为民办实事工作队经费。</w:t>
      </w:r>
    </w:p>
    <w:p w14:paraId="684F1F07">
      <w:pPr>
        <w:spacing w:line="640" w:lineRule="exact"/>
        <w:ind w:firstLine="640"/>
        <w:jc w:val="both"/>
        <w:outlineLvl w:val="2"/>
      </w:pPr>
      <w:r>
        <w:rPr>
          <w:rFonts w:ascii="黑体" w:hAnsi="黑体" w:eastAsia="黑体"/>
          <w:sz w:val="32"/>
        </w:rPr>
        <w:t>六、一般公共预算财政拨款基本支出决算情况说明</w:t>
      </w:r>
    </w:p>
    <w:p w14:paraId="7C862C52">
      <w:pPr>
        <w:spacing w:line="580" w:lineRule="exact"/>
        <w:ind w:firstLine="640"/>
        <w:jc w:val="both"/>
      </w:pPr>
      <w:r>
        <w:rPr>
          <w:rFonts w:ascii="仿宋_GB2312" w:hAnsi="仿宋_GB2312" w:eastAsia="仿宋_GB2312"/>
          <w:b w:val="0"/>
          <w:sz w:val="32"/>
        </w:rPr>
        <w:t>2024年度一般公共预算财政拨款基本支出545.55万元，其中：</w:t>
      </w:r>
      <w:r>
        <w:rPr>
          <w:rFonts w:ascii="仿宋_GB2312" w:hAnsi="仿宋_GB2312" w:eastAsia="仿宋_GB2312"/>
          <w:b/>
          <w:sz w:val="32"/>
        </w:rPr>
        <w:t>人员经费545.55万元，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包括：基本工资、津贴补贴、奖金、机关事业单位基本养老保险缴费、职业年金缴费、职工基本医疗保险缴费、其他社会保障缴费、住房公积金、退休费、生活补助、奖励金。</w:t>
      </w:r>
    </w:p>
    <w:p w14:paraId="117395F5">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4DF1C5B3">
      <w:pPr>
        <w:spacing w:line="640" w:lineRule="exact"/>
        <w:ind w:firstLine="640"/>
        <w:jc w:val="both"/>
        <w:outlineLvl w:val="2"/>
      </w:pPr>
      <w:r>
        <w:rPr>
          <w:rFonts w:ascii="黑体" w:hAnsi="黑体" w:eastAsia="黑体"/>
          <w:sz w:val="32"/>
        </w:rPr>
        <w:t>七、政府性基金预算财政拨款收入支出决算情况说明</w:t>
      </w:r>
    </w:p>
    <w:p w14:paraId="1B7557DB">
      <w:pPr>
        <w:spacing w:line="580" w:lineRule="exact"/>
        <w:ind w:firstLine="640"/>
        <w:jc w:val="both"/>
      </w:pPr>
      <w:r>
        <w:rPr>
          <w:rFonts w:ascii="仿宋_GB2312" w:hAnsi="仿宋_GB2312" w:eastAsia="仿宋_GB2312"/>
          <w:b/>
          <w:sz w:val="32"/>
        </w:rPr>
        <w:t>2024年度政府性基金预算财政拨款收入总计3.00万元，</w:t>
      </w:r>
      <w:r>
        <w:rPr>
          <w:rFonts w:ascii="仿宋_GB2312" w:hAnsi="仿宋_GB2312" w:eastAsia="仿宋_GB2312"/>
          <w:b w:val="0"/>
          <w:sz w:val="32"/>
        </w:rPr>
        <w:t>其中：年初结转和结余0.00万元，本年收入3.00万元。</w:t>
      </w:r>
      <w:r>
        <w:rPr>
          <w:rFonts w:ascii="仿宋_GB2312" w:hAnsi="仿宋_GB2312" w:eastAsia="仿宋_GB2312"/>
          <w:b/>
          <w:sz w:val="32"/>
        </w:rPr>
        <w:t>政府性基金预算财政拨款支出总计3.00万元，</w:t>
      </w:r>
      <w:r>
        <w:rPr>
          <w:rFonts w:ascii="仿宋_GB2312" w:hAnsi="仿宋_GB2312" w:eastAsia="仿宋_GB2312"/>
          <w:b w:val="0"/>
          <w:sz w:val="32"/>
        </w:rPr>
        <w:t>其中：年末结转和结余0.00万元，本年支出3.00万元。</w:t>
      </w:r>
    </w:p>
    <w:p w14:paraId="0AF1C1CC">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增加3.00万元，增长100.00%，主要原因是：本年增加福利彩票（两癌）项目。</w:t>
      </w:r>
      <w:r>
        <w:rPr>
          <w:rFonts w:ascii="仿宋_GB2312" w:hAnsi="仿宋_GB2312" w:eastAsia="仿宋_GB2312"/>
          <w:b/>
          <w:sz w:val="32"/>
        </w:rPr>
        <w:t>与年初预算相比，</w:t>
      </w:r>
      <w:r>
        <w:rPr>
          <w:rFonts w:ascii="仿宋_GB2312" w:hAnsi="仿宋_GB2312" w:eastAsia="仿宋_GB2312"/>
          <w:b w:val="0"/>
          <w:sz w:val="32"/>
        </w:rPr>
        <w:t>年初预算数0.00万元，决算数3.00万元，预决算差异率100.00%，主要原因是：年中追加福利彩票（两癌）项目，导致预决算存在差异。</w:t>
      </w:r>
    </w:p>
    <w:p w14:paraId="5F89B765">
      <w:pPr>
        <w:spacing w:line="580" w:lineRule="exact"/>
        <w:ind w:firstLine="640"/>
        <w:jc w:val="both"/>
      </w:pPr>
      <w:r>
        <w:rPr>
          <w:rFonts w:ascii="仿宋_GB2312" w:hAnsi="仿宋_GB2312" w:eastAsia="仿宋_GB2312"/>
          <w:b w:val="0"/>
          <w:sz w:val="32"/>
        </w:rPr>
        <w:t>政府性基金预算财政拨款支出3.00万元。</w:t>
      </w:r>
    </w:p>
    <w:p w14:paraId="1E5E6F88">
      <w:pPr>
        <w:spacing w:line="580" w:lineRule="exact"/>
        <w:ind w:firstLine="640"/>
        <w:jc w:val="both"/>
      </w:pPr>
      <w:r>
        <w:rPr>
          <w:rFonts w:ascii="仿宋_GB2312" w:hAnsi="仿宋_GB2312" w:eastAsia="仿宋_GB2312"/>
          <w:b w:val="0"/>
          <w:sz w:val="32"/>
        </w:rPr>
        <w:t>1.其他支出(类)彩票公益金安排的支出(款)用于城乡医疗救助的彩票公益金支出(项):支出决算数为3.00万元，比上年决算增加3.00万元，增长100.00%,主要原因是：本年增加福利彩票（两癌）项目。</w:t>
      </w:r>
    </w:p>
    <w:p w14:paraId="728290AD">
      <w:pPr>
        <w:spacing w:line="640" w:lineRule="exact"/>
        <w:ind w:firstLine="640"/>
        <w:jc w:val="both"/>
        <w:outlineLvl w:val="2"/>
      </w:pPr>
      <w:r>
        <w:rPr>
          <w:rFonts w:ascii="黑体" w:hAnsi="黑体" w:eastAsia="黑体"/>
          <w:sz w:val="32"/>
        </w:rPr>
        <w:t>八、国有资本经营预算财政拨款收入支出决算情况说明</w:t>
      </w:r>
    </w:p>
    <w:p w14:paraId="07FDF55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545D684">
      <w:pPr>
        <w:spacing w:line="640" w:lineRule="exact"/>
        <w:ind w:firstLine="640"/>
        <w:jc w:val="both"/>
        <w:outlineLvl w:val="2"/>
      </w:pPr>
      <w:r>
        <w:rPr>
          <w:rFonts w:ascii="黑体" w:hAnsi="黑体" w:eastAsia="黑体"/>
          <w:sz w:val="32"/>
        </w:rPr>
        <w:t>九、财政拨款“三公”经费支出决算情况说明</w:t>
      </w:r>
    </w:p>
    <w:p w14:paraId="4B21359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308658A">
      <w:pPr>
        <w:spacing w:line="580" w:lineRule="exact"/>
        <w:ind w:firstLine="640"/>
        <w:jc w:val="both"/>
      </w:pPr>
      <w:r>
        <w:rPr>
          <w:rFonts w:ascii="仿宋_GB2312" w:hAnsi="仿宋_GB2312" w:eastAsia="仿宋_GB2312"/>
          <w:b/>
          <w:sz w:val="32"/>
        </w:rPr>
        <w:t>具体情况如下：</w:t>
      </w:r>
    </w:p>
    <w:p w14:paraId="4DB286B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506735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差异车辆为一般业务用车，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由事业收入保障</w:t>
      </w:r>
      <w:r>
        <w:rPr>
          <w:rFonts w:ascii="仿宋_GB2312" w:hAnsi="仿宋_GB2312" w:eastAsia="仿宋_GB2312"/>
          <w:b w:val="0"/>
          <w:sz w:val="32"/>
        </w:rPr>
        <w:t>。</w:t>
      </w:r>
    </w:p>
    <w:p w14:paraId="7FF51A5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697B80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BD2DB21">
      <w:pPr>
        <w:spacing w:line="640" w:lineRule="exact"/>
        <w:ind w:firstLine="640"/>
        <w:jc w:val="both"/>
        <w:outlineLvl w:val="2"/>
      </w:pPr>
      <w:r>
        <w:rPr>
          <w:rFonts w:ascii="黑体" w:hAnsi="黑体" w:eastAsia="黑体"/>
          <w:sz w:val="32"/>
        </w:rPr>
        <w:t>十、其他重要事项的情况说明</w:t>
      </w:r>
    </w:p>
    <w:p w14:paraId="1CFA6B5C">
      <w:pPr>
        <w:spacing w:line="640" w:lineRule="exact"/>
        <w:ind w:firstLine="640"/>
        <w:jc w:val="both"/>
        <w:outlineLvl w:val="3"/>
      </w:pPr>
      <w:r>
        <w:rPr>
          <w:rFonts w:ascii="楷体_GB2312" w:hAnsi="楷体_GB2312" w:eastAsia="楷体_GB2312"/>
          <w:b/>
          <w:sz w:val="32"/>
        </w:rPr>
        <w:t>（一）机关运行经费及公用经费支出情况</w:t>
      </w:r>
    </w:p>
    <w:p w14:paraId="54E87B34">
      <w:pPr>
        <w:spacing w:line="580" w:lineRule="exact"/>
        <w:ind w:firstLine="640"/>
        <w:jc w:val="both"/>
      </w:pPr>
      <w:r>
        <w:rPr>
          <w:rFonts w:ascii="仿宋_GB2312" w:hAnsi="仿宋_GB2312" w:eastAsia="仿宋_GB2312"/>
          <w:b w:val="0"/>
          <w:sz w:val="32"/>
        </w:rPr>
        <w:t>2024年度且末县妇幼保健与</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服务中心（事业单位）公用经费支出0.00万元，比上年增加0.00万元，增长0.00%，主要原因是：2023年与2024年均未安排公用经费支出。</w:t>
      </w:r>
    </w:p>
    <w:p w14:paraId="21746F24">
      <w:pPr>
        <w:spacing w:line="640" w:lineRule="exact"/>
        <w:ind w:firstLine="640"/>
        <w:jc w:val="both"/>
        <w:outlineLvl w:val="3"/>
      </w:pPr>
      <w:r>
        <w:rPr>
          <w:rFonts w:ascii="楷体_GB2312" w:hAnsi="楷体_GB2312" w:eastAsia="楷体_GB2312"/>
          <w:b/>
          <w:sz w:val="32"/>
        </w:rPr>
        <w:t>（二）政府采购情况</w:t>
      </w:r>
    </w:p>
    <w:p w14:paraId="78CF1210">
      <w:pPr>
        <w:spacing w:line="580" w:lineRule="exact"/>
        <w:ind w:firstLine="640"/>
        <w:jc w:val="both"/>
      </w:pPr>
      <w:r>
        <w:rPr>
          <w:rFonts w:ascii="仿宋_GB2312" w:hAnsi="仿宋_GB2312" w:eastAsia="仿宋_GB2312"/>
          <w:b w:val="0"/>
          <w:sz w:val="32"/>
        </w:rPr>
        <w:t>2024年度政府采购支出总额37.70万元，其中：政府采购货物支出23.11万元、政府采购工程支出0.00万元、政府采购服务支出14.59万元。</w:t>
      </w:r>
    </w:p>
    <w:p w14:paraId="5C85AB7A">
      <w:pPr>
        <w:spacing w:line="580" w:lineRule="exact"/>
        <w:ind w:firstLine="640"/>
        <w:jc w:val="both"/>
      </w:pPr>
      <w:r>
        <w:rPr>
          <w:rFonts w:ascii="仿宋_GB2312" w:hAnsi="仿宋_GB2312" w:eastAsia="仿宋_GB2312"/>
          <w:b w:val="0"/>
          <w:sz w:val="32"/>
        </w:rPr>
        <w:t>授予中小企业合同金额37.70万元，占政府采购支出总额的100.00%，其中：授予小微企业合同金额30.71万元，占政府采购支出总额的81.46%。</w:t>
      </w:r>
    </w:p>
    <w:p w14:paraId="70CC7903">
      <w:pPr>
        <w:spacing w:line="640" w:lineRule="exact"/>
        <w:ind w:firstLine="640"/>
        <w:jc w:val="both"/>
        <w:outlineLvl w:val="3"/>
      </w:pPr>
      <w:r>
        <w:rPr>
          <w:rFonts w:ascii="楷体_GB2312" w:hAnsi="楷体_GB2312" w:eastAsia="楷体_GB2312"/>
          <w:b/>
          <w:sz w:val="32"/>
        </w:rPr>
        <w:t>（三）国有资产占用情况说明</w:t>
      </w:r>
    </w:p>
    <w:p w14:paraId="7DC7FDED">
      <w:pPr>
        <w:spacing w:line="580" w:lineRule="exact"/>
        <w:ind w:firstLine="640"/>
        <w:jc w:val="both"/>
      </w:pPr>
      <w:r>
        <w:rPr>
          <w:rFonts w:ascii="仿宋_GB2312" w:hAnsi="仿宋_GB2312" w:eastAsia="仿宋_GB2312"/>
          <w:b w:val="0"/>
          <w:sz w:val="32"/>
        </w:rPr>
        <w:t>截至2024年12月31日，房屋4,394.17平方米，价值908.57万元。车辆3辆，价值55.45万元，其中：副部（省）级及以上领导用车0辆、主要负责人用车0辆、机要通信用车0辆、应急保障用车0辆、执法执勤用车0辆、特种专业技术用车0辆、离退休干部服务用车0辆、其他用车3辆，其他用车主要是：2辆救护车和1辆下乡检查督导用车。单价100万元（含）以上设备（不含车辆）0台（套）。</w:t>
      </w:r>
    </w:p>
    <w:p w14:paraId="7D197DA0">
      <w:pPr>
        <w:spacing w:line="640" w:lineRule="exact"/>
        <w:ind w:firstLine="640"/>
        <w:jc w:val="both"/>
        <w:outlineLvl w:val="2"/>
      </w:pPr>
      <w:r>
        <w:rPr>
          <w:rFonts w:ascii="黑体" w:hAnsi="黑体" w:eastAsia="黑体"/>
          <w:sz w:val="32"/>
        </w:rPr>
        <w:t>十一、预算绩效的情况说明</w:t>
      </w:r>
    </w:p>
    <w:p w14:paraId="2C2342A3">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09BF2DF8">
      <w:r>
        <w:br w:type="page"/>
      </w:r>
    </w:p>
    <w:p w14:paraId="65F6A515">
      <w:pPr>
        <w:spacing w:line="640" w:lineRule="exact"/>
        <w:ind w:firstLine="640"/>
        <w:jc w:val="both"/>
        <w:outlineLvl w:val="2"/>
      </w:pPr>
      <w:r>
        <w:rPr>
          <w:rFonts w:ascii="黑体" w:hAnsi="黑体" w:eastAsia="黑体"/>
          <w:sz w:val="32"/>
        </w:rPr>
        <w:t>十二、其他需说明的事项</w:t>
      </w:r>
    </w:p>
    <w:p w14:paraId="44BA5BA3">
      <w:pPr>
        <w:spacing w:line="580" w:lineRule="exact"/>
        <w:ind w:firstLine="640"/>
        <w:jc w:val="both"/>
      </w:pPr>
      <w:r>
        <w:rPr>
          <w:rFonts w:ascii="仿宋_GB2312" w:hAnsi="仿宋_GB2312" w:eastAsia="仿宋_GB2312"/>
          <w:b w:val="0"/>
          <w:sz w:val="32"/>
        </w:rPr>
        <w:t>本年度本单位整体绩效自评表由主管部门编报并公开。</w:t>
      </w:r>
    </w:p>
    <w:p w14:paraId="081E73EA">
      <w:r>
        <w:br w:type="page"/>
      </w:r>
    </w:p>
    <w:p w14:paraId="75C6EA37">
      <w:pPr>
        <w:spacing w:line="240" w:lineRule="auto"/>
        <w:jc w:val="center"/>
        <w:outlineLvl w:val="1"/>
      </w:pPr>
      <w:r>
        <w:rPr>
          <w:rFonts w:ascii="黑体" w:hAnsi="黑体" w:eastAsia="黑体"/>
          <w:sz w:val="32"/>
        </w:rPr>
        <w:t>第三部分 专业名词解释</w:t>
      </w:r>
    </w:p>
    <w:p w14:paraId="53B66C2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467AA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B3C1F8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BD58CF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71508D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C0CF8D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CA34FA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9FF5D4C">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C3481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E9DC48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D04992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BE4F5D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F99FC9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806BFE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8647366">
      <w:r>
        <w:br w:type="page"/>
      </w:r>
    </w:p>
    <w:p w14:paraId="0E5E6DF9">
      <w:pPr>
        <w:spacing w:line="240" w:lineRule="auto"/>
        <w:jc w:val="center"/>
        <w:outlineLvl w:val="1"/>
      </w:pPr>
      <w:r>
        <w:rPr>
          <w:rFonts w:ascii="黑体" w:hAnsi="黑体" w:eastAsia="黑体"/>
          <w:sz w:val="32"/>
        </w:rPr>
        <w:t>第四部分 部门决算报表（见附表）</w:t>
      </w:r>
    </w:p>
    <w:p w14:paraId="2BDD48DC">
      <w:pPr>
        <w:spacing w:line="240" w:lineRule="auto"/>
        <w:ind w:firstLine="640"/>
        <w:jc w:val="both"/>
      </w:pPr>
      <w:r>
        <w:rPr>
          <w:rFonts w:ascii="仿宋_GB2312" w:hAnsi="仿宋_GB2312" w:eastAsia="仿宋_GB2312"/>
          <w:b w:val="0"/>
          <w:sz w:val="32"/>
        </w:rPr>
        <w:t>一、《收入支出决算总表》</w:t>
      </w:r>
    </w:p>
    <w:p w14:paraId="183D2588">
      <w:pPr>
        <w:spacing w:line="240" w:lineRule="auto"/>
        <w:ind w:firstLine="640"/>
        <w:jc w:val="both"/>
      </w:pPr>
      <w:r>
        <w:rPr>
          <w:rFonts w:ascii="仿宋_GB2312" w:hAnsi="仿宋_GB2312" w:eastAsia="仿宋_GB2312"/>
          <w:b w:val="0"/>
          <w:sz w:val="32"/>
        </w:rPr>
        <w:t>二、《收入决算表》</w:t>
      </w:r>
    </w:p>
    <w:p w14:paraId="56F8B71F">
      <w:pPr>
        <w:spacing w:line="240" w:lineRule="auto"/>
        <w:ind w:firstLine="640"/>
        <w:jc w:val="both"/>
      </w:pPr>
      <w:r>
        <w:rPr>
          <w:rFonts w:ascii="仿宋_GB2312" w:hAnsi="仿宋_GB2312" w:eastAsia="仿宋_GB2312"/>
          <w:b w:val="0"/>
          <w:sz w:val="32"/>
        </w:rPr>
        <w:t>三、《支出决算表》</w:t>
      </w:r>
    </w:p>
    <w:p w14:paraId="688BA826">
      <w:pPr>
        <w:spacing w:line="240" w:lineRule="auto"/>
        <w:ind w:firstLine="640"/>
        <w:jc w:val="both"/>
      </w:pPr>
      <w:r>
        <w:rPr>
          <w:rFonts w:ascii="仿宋_GB2312" w:hAnsi="仿宋_GB2312" w:eastAsia="仿宋_GB2312"/>
          <w:b w:val="0"/>
          <w:sz w:val="32"/>
        </w:rPr>
        <w:t>四、《财政拨款收入支出决算总表》</w:t>
      </w:r>
    </w:p>
    <w:p w14:paraId="4F178D5E">
      <w:pPr>
        <w:spacing w:line="240" w:lineRule="auto"/>
        <w:ind w:firstLine="640"/>
        <w:jc w:val="both"/>
      </w:pPr>
      <w:r>
        <w:rPr>
          <w:rFonts w:ascii="仿宋_GB2312" w:hAnsi="仿宋_GB2312" w:eastAsia="仿宋_GB2312"/>
          <w:b w:val="0"/>
          <w:sz w:val="32"/>
        </w:rPr>
        <w:t>五、《一般公共预算财政拨款支出决算表》</w:t>
      </w:r>
    </w:p>
    <w:p w14:paraId="63F99F09">
      <w:pPr>
        <w:spacing w:line="240" w:lineRule="auto"/>
        <w:ind w:firstLine="640"/>
        <w:jc w:val="both"/>
      </w:pPr>
      <w:r>
        <w:rPr>
          <w:rFonts w:ascii="仿宋_GB2312" w:hAnsi="仿宋_GB2312" w:eastAsia="仿宋_GB2312"/>
          <w:b w:val="0"/>
          <w:sz w:val="32"/>
        </w:rPr>
        <w:t>六、《一般公共预算财政拨款基本支出决算表》</w:t>
      </w:r>
    </w:p>
    <w:p w14:paraId="0EAB3BCC">
      <w:pPr>
        <w:spacing w:line="240" w:lineRule="auto"/>
        <w:ind w:firstLine="640"/>
        <w:jc w:val="both"/>
      </w:pPr>
      <w:r>
        <w:rPr>
          <w:rFonts w:ascii="仿宋_GB2312" w:hAnsi="仿宋_GB2312" w:eastAsia="仿宋_GB2312"/>
          <w:b w:val="0"/>
          <w:sz w:val="32"/>
        </w:rPr>
        <w:t>七、《政府性基金预算财政拨款收入支出决算表》</w:t>
      </w:r>
    </w:p>
    <w:p w14:paraId="58B5C7D1">
      <w:pPr>
        <w:spacing w:line="240" w:lineRule="auto"/>
        <w:ind w:firstLine="640"/>
        <w:jc w:val="both"/>
      </w:pPr>
      <w:r>
        <w:rPr>
          <w:rFonts w:ascii="仿宋_GB2312" w:hAnsi="仿宋_GB2312" w:eastAsia="仿宋_GB2312"/>
          <w:b w:val="0"/>
          <w:sz w:val="32"/>
        </w:rPr>
        <w:t>八、《国有资本经营预算财政拨款收入支出决算表》</w:t>
      </w:r>
    </w:p>
    <w:p w14:paraId="63B97A89">
      <w:pPr>
        <w:spacing w:line="240" w:lineRule="auto"/>
        <w:ind w:firstLine="640"/>
        <w:jc w:val="both"/>
      </w:pPr>
      <w:r>
        <w:rPr>
          <w:rFonts w:ascii="仿宋_GB2312" w:hAnsi="仿宋_GB2312" w:eastAsia="仿宋_GB2312"/>
          <w:b w:val="0"/>
          <w:sz w:val="32"/>
        </w:rPr>
        <w:t>九、《财政拨款“三公”经费支出决算表》</w:t>
      </w:r>
    </w:p>
    <w:p w14:paraId="6B6C4855">
      <w:pPr>
        <w:spacing w:line="240" w:lineRule="auto"/>
        <w:ind w:firstLine="640"/>
        <w:jc w:val="both"/>
      </w:pPr>
    </w:p>
    <w:p w14:paraId="72DF42CA">
      <w:pPr>
        <w:spacing w:line="240" w:lineRule="auto"/>
        <w:ind w:firstLine="640"/>
        <w:jc w:val="both"/>
      </w:pPr>
    </w:p>
    <w:p w14:paraId="6EEB87C5">
      <w:pPr>
        <w:spacing w:line="240" w:lineRule="auto"/>
        <w:ind w:firstLine="640"/>
        <w:jc w:val="both"/>
      </w:pPr>
    </w:p>
    <w:p w14:paraId="4BD0CAB3">
      <w:pPr>
        <w:spacing w:line="240" w:lineRule="auto"/>
        <w:ind w:firstLine="640"/>
        <w:jc w:val="both"/>
      </w:pPr>
    </w:p>
    <w:p w14:paraId="0886D9D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5BF951-FC1E-4513-822B-82557CE23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1DB649D-6DEA-4B4D-8FF3-A6347FBC73CA}"/>
  </w:font>
  <w:font w:name="仿宋_GB2312">
    <w:panose1 w:val="02010609030101010101"/>
    <w:charset w:val="86"/>
    <w:family w:val="modern"/>
    <w:pitch w:val="default"/>
    <w:sig w:usb0="00000001" w:usb1="080E0000" w:usb2="00000000" w:usb3="00000000" w:csb0="00040000" w:csb1="00000000"/>
    <w:embedRegular r:id="rId3" w:fontKey="{87C14084-C9C3-4423-8F75-69E744B72E66}"/>
  </w:font>
  <w:font w:name="楷体_GB2312">
    <w:panose1 w:val="02010609030101010101"/>
    <w:charset w:val="86"/>
    <w:family w:val="auto"/>
    <w:pitch w:val="default"/>
    <w:sig w:usb0="00000001" w:usb1="080E0000" w:usb2="00000000" w:usb3="00000000" w:csb0="00040000" w:csb1="00000000"/>
    <w:embedRegular r:id="rId4" w:fontKey="{DC15775A-ED30-4CA4-82B5-896DD120E9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0B4C2F"/>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3342AA"/>
    <w:rsid w:val="5F6A53C4"/>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5904</Words>
  <Characters>6662</Characters>
  <Lines>0</Lines>
  <Paragraphs>0</Paragraphs>
  <TotalTime>9</TotalTime>
  <ScaleCrop>false</ScaleCrop>
  <LinksUpToDate>false</LinksUpToDate>
  <CharactersWithSpaces>6672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