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且末县且末镇卫生院2024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B8FEA89">
      <w:r>
        <w:br w:type="page"/>
      </w:r>
    </w:p>
    <w:p w14:paraId="67344E0F">
      <w:pPr>
        <w:spacing w:line="640" w:lineRule="exact"/>
        <w:jc w:val="center"/>
        <w:outlineLvl w:val="1"/>
      </w:pPr>
      <w:r>
        <w:rPr>
          <w:rFonts w:ascii="黑体" w:hAnsi="黑体" w:eastAsia="黑体"/>
          <w:sz w:val="32"/>
        </w:rPr>
        <w:t>第一部分 单位概况</w:t>
      </w:r>
    </w:p>
    <w:p w14:paraId="2F979C77">
      <w:pPr>
        <w:spacing w:line="640" w:lineRule="exact"/>
        <w:ind w:firstLine="640"/>
        <w:jc w:val="both"/>
        <w:outlineLvl w:val="2"/>
      </w:pPr>
      <w:r>
        <w:rPr>
          <w:rFonts w:ascii="黑体" w:hAnsi="黑体" w:eastAsia="黑体"/>
          <w:sz w:val="32"/>
        </w:rPr>
        <w:t>一、主要职能</w:t>
      </w:r>
    </w:p>
    <w:p w14:paraId="002511E5">
      <w:pPr>
        <w:spacing w:line="580" w:lineRule="exact"/>
        <w:ind w:firstLine="640"/>
        <w:jc w:val="both"/>
      </w:pPr>
      <w:r>
        <w:rPr>
          <w:rFonts w:ascii="仿宋_GB2312" w:hAnsi="仿宋_GB2312" w:eastAsia="仿宋_GB2312"/>
          <w:sz w:val="32"/>
        </w:rPr>
        <w:t>且末县且末镇卫生院，2015年6月建设成立，坐落于且末县丝绸西路亚欧花苑，是全额拨款独立核算的事业单位，提供以预防保健、基本医疗、健康教育、</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主管局且末县卫健委委托承担辖区内公共卫生管理，负责对村级卫生机构的技术指导和对乡村医生的管理、培训等。全面实施国家基本公共卫生服务和重大公共卫生服务项目，提高农民保健意识。</w:t>
      </w:r>
    </w:p>
    <w:p w14:paraId="18BEF76D">
      <w:pPr>
        <w:spacing w:line="640" w:lineRule="exact"/>
        <w:ind w:firstLine="640"/>
        <w:jc w:val="both"/>
        <w:outlineLvl w:val="2"/>
      </w:pPr>
      <w:r>
        <w:rPr>
          <w:rFonts w:ascii="黑体" w:hAnsi="黑体" w:eastAsia="黑体"/>
          <w:sz w:val="32"/>
        </w:rPr>
        <w:t>二、机构设置及人员情况</w:t>
      </w:r>
    </w:p>
    <w:p w14:paraId="1B078436">
      <w:pPr>
        <w:spacing w:line="580" w:lineRule="exact"/>
        <w:ind w:firstLine="640"/>
        <w:jc w:val="both"/>
      </w:pPr>
      <w:r>
        <w:rPr>
          <w:rFonts w:ascii="仿宋_GB2312" w:hAnsi="仿宋_GB2312" w:eastAsia="仿宋_GB2312"/>
          <w:sz w:val="32"/>
        </w:rPr>
        <w:t>且末县且末镇卫生院2024年度，实有人数10人，其中：在职人员6人，减少1人；离休人员0人，增加0人；退休人员4人,增加1人。</w:t>
      </w:r>
    </w:p>
    <w:p w14:paraId="0EB996F5">
      <w:pPr>
        <w:spacing w:line="580" w:lineRule="exact"/>
        <w:ind w:firstLine="640"/>
        <w:jc w:val="both"/>
      </w:pPr>
      <w:r>
        <w:rPr>
          <w:rFonts w:ascii="仿宋_GB2312" w:hAnsi="仿宋_GB2312" w:eastAsia="仿宋_GB2312"/>
          <w:sz w:val="32"/>
        </w:rPr>
        <w:t>且末县且末镇卫生院无下属预算单位，下设5个科室，分别是：办公室、门诊办公室、公共卫生办公室、防疫办公室、妇幼办公室。</w:t>
      </w:r>
    </w:p>
    <w:p w14:paraId="4823A075">
      <w:r>
        <w:br w:type="page"/>
      </w:r>
    </w:p>
    <w:p w14:paraId="1F8F0D7F">
      <w:pPr>
        <w:spacing w:line="240" w:lineRule="auto"/>
        <w:jc w:val="center"/>
        <w:outlineLvl w:val="1"/>
      </w:pPr>
      <w:r>
        <w:rPr>
          <w:rFonts w:ascii="黑体" w:hAnsi="黑体" w:eastAsia="黑体"/>
          <w:sz w:val="32"/>
        </w:rPr>
        <w:t>第二部分 部门决算情况说明</w:t>
      </w:r>
    </w:p>
    <w:p w14:paraId="04FFEDE4">
      <w:pPr>
        <w:spacing w:line="640" w:lineRule="exact"/>
        <w:ind w:firstLine="640"/>
        <w:jc w:val="both"/>
        <w:outlineLvl w:val="2"/>
      </w:pPr>
      <w:r>
        <w:rPr>
          <w:rFonts w:ascii="黑体" w:hAnsi="黑体" w:eastAsia="黑体"/>
          <w:sz w:val="32"/>
        </w:rPr>
        <w:t>一、收入支出决算总体情况说明</w:t>
      </w:r>
    </w:p>
    <w:p w14:paraId="69A0E072">
      <w:pPr>
        <w:spacing w:line="580" w:lineRule="exact"/>
        <w:ind w:firstLine="640"/>
        <w:jc w:val="both"/>
      </w:pPr>
      <w:r>
        <w:rPr>
          <w:rFonts w:ascii="仿宋_GB2312" w:hAnsi="仿宋_GB2312" w:eastAsia="仿宋_GB2312"/>
          <w:b/>
          <w:sz w:val="32"/>
        </w:rPr>
        <w:t>2024年度收入总计416.35万元，</w:t>
      </w:r>
      <w:r>
        <w:rPr>
          <w:rFonts w:ascii="仿宋_GB2312" w:hAnsi="仿宋_GB2312" w:eastAsia="仿宋_GB2312"/>
          <w:b w:val="0"/>
          <w:sz w:val="32"/>
        </w:rPr>
        <w:t>其中：本年收入合计404.82万元，使用非财政拨款结余（含专用结余）11.53万元，年初结转和结余0.00万元。</w:t>
      </w:r>
    </w:p>
    <w:p w14:paraId="7E271DC8">
      <w:pPr>
        <w:spacing w:line="580" w:lineRule="exact"/>
        <w:ind w:firstLine="640"/>
        <w:jc w:val="both"/>
      </w:pPr>
      <w:r>
        <w:rPr>
          <w:rFonts w:ascii="仿宋_GB2312" w:hAnsi="仿宋_GB2312" w:eastAsia="仿宋_GB2312"/>
          <w:b/>
          <w:sz w:val="32"/>
        </w:rPr>
        <w:t>2024年度支出总计416.35万元，</w:t>
      </w:r>
      <w:r>
        <w:rPr>
          <w:rFonts w:ascii="仿宋_GB2312" w:hAnsi="仿宋_GB2312" w:eastAsia="仿宋_GB2312"/>
          <w:b w:val="0"/>
          <w:sz w:val="32"/>
        </w:rPr>
        <w:t>其中：本年支出合计416.35万元，结余分配0.00万元，年末结转和结余0.00万元。</w:t>
      </w:r>
    </w:p>
    <w:p w14:paraId="40A9C00B">
      <w:pPr>
        <w:spacing w:line="580" w:lineRule="exact"/>
        <w:ind w:firstLine="640"/>
        <w:jc w:val="both"/>
      </w:pPr>
      <w:r>
        <w:rPr>
          <w:rFonts w:ascii="仿宋_GB2312" w:hAnsi="仿宋_GB2312" w:eastAsia="仿宋_GB2312"/>
          <w:b w:val="0"/>
          <w:sz w:val="32"/>
        </w:rPr>
        <w:t>收入支出总体与上年相比，减少123.50万元，下降22.88%，主要原因是：本年事业收入较上年</w:t>
      </w:r>
      <w:r>
        <w:rPr>
          <w:rFonts w:hint="eastAsia" w:ascii="仿宋_GB2312" w:hAnsi="仿宋_GB2312" w:eastAsia="仿宋_GB2312"/>
          <w:b w:val="0"/>
          <w:sz w:val="32"/>
          <w:lang w:val="en-US" w:eastAsia="zh-CN"/>
        </w:rPr>
        <w:t>减少</w:t>
      </w:r>
      <w:r>
        <w:rPr>
          <w:rFonts w:ascii="仿宋_GB2312" w:hAnsi="仿宋_GB2312" w:eastAsia="仿宋_GB2312"/>
          <w:b w:val="0"/>
          <w:sz w:val="32"/>
        </w:rPr>
        <w:t>。</w:t>
      </w:r>
    </w:p>
    <w:p w14:paraId="1EB871FA">
      <w:pPr>
        <w:spacing w:line="640" w:lineRule="exact"/>
        <w:ind w:firstLine="640"/>
        <w:jc w:val="both"/>
        <w:outlineLvl w:val="2"/>
      </w:pPr>
      <w:r>
        <w:rPr>
          <w:rFonts w:ascii="黑体" w:hAnsi="黑体" w:eastAsia="黑体"/>
          <w:sz w:val="32"/>
        </w:rPr>
        <w:t>二、收入决算情况说明</w:t>
      </w:r>
    </w:p>
    <w:p w14:paraId="18A376C2">
      <w:pPr>
        <w:spacing w:line="580" w:lineRule="exact"/>
        <w:ind w:firstLine="640"/>
        <w:jc w:val="both"/>
      </w:pPr>
      <w:r>
        <w:rPr>
          <w:rFonts w:ascii="仿宋_GB2312" w:hAnsi="仿宋_GB2312" w:eastAsia="仿宋_GB2312"/>
          <w:b/>
          <w:sz w:val="32"/>
        </w:rPr>
        <w:t>本年收入404.82万元，</w:t>
      </w:r>
      <w:r>
        <w:rPr>
          <w:rFonts w:ascii="仿宋_GB2312" w:hAnsi="仿宋_GB2312" w:eastAsia="仿宋_GB2312"/>
          <w:b w:val="0"/>
          <w:sz w:val="32"/>
        </w:rPr>
        <w:t>其中：财政拨款收入322.37万元，占79.63%；上级补助收入0.00万元，占0.00%；事业收入82.04万元，占20.27%；经营收入0.00万元，占0.00%；附属单位上缴收入0.00万元，占0.00%；其他收入0.40万元，占0.10%。</w:t>
      </w:r>
    </w:p>
    <w:p w14:paraId="5652151F">
      <w:pPr>
        <w:spacing w:line="640" w:lineRule="exact"/>
        <w:ind w:firstLine="640"/>
        <w:jc w:val="both"/>
        <w:outlineLvl w:val="2"/>
      </w:pPr>
      <w:r>
        <w:rPr>
          <w:rFonts w:ascii="黑体" w:hAnsi="黑体" w:eastAsia="黑体"/>
          <w:sz w:val="32"/>
        </w:rPr>
        <w:t>三、支出决算情况说明</w:t>
      </w:r>
    </w:p>
    <w:p w14:paraId="2A3B17C3">
      <w:pPr>
        <w:spacing w:line="580" w:lineRule="exact"/>
        <w:ind w:firstLine="640"/>
        <w:jc w:val="both"/>
      </w:pPr>
      <w:r>
        <w:rPr>
          <w:rFonts w:ascii="仿宋_GB2312" w:hAnsi="仿宋_GB2312" w:eastAsia="仿宋_GB2312"/>
          <w:b/>
          <w:sz w:val="32"/>
        </w:rPr>
        <w:t>本年支出416.35万元，</w:t>
      </w:r>
      <w:r>
        <w:rPr>
          <w:rFonts w:ascii="仿宋_GB2312" w:hAnsi="仿宋_GB2312" w:eastAsia="仿宋_GB2312"/>
          <w:b w:val="0"/>
          <w:sz w:val="32"/>
        </w:rPr>
        <w:t>其中：基本支出209.38万元，占50.29%；项目支出206.97万元，占49.71%；上缴上级支出0.00万元，占0.00%；经营支出0.00万元，占0.00%；对附属单位补助支出0.00万元，占0.00%。</w:t>
      </w:r>
    </w:p>
    <w:p w14:paraId="5A33FAA3">
      <w:pPr>
        <w:spacing w:line="640" w:lineRule="exact"/>
        <w:ind w:firstLine="640"/>
        <w:jc w:val="both"/>
        <w:outlineLvl w:val="2"/>
      </w:pPr>
      <w:r>
        <w:rPr>
          <w:rFonts w:ascii="黑体" w:hAnsi="黑体" w:eastAsia="黑体"/>
          <w:sz w:val="32"/>
        </w:rPr>
        <w:t>四、财政拨款收入支出决算总体情况说明</w:t>
      </w:r>
    </w:p>
    <w:p w14:paraId="11F0E90E">
      <w:pPr>
        <w:spacing w:line="580" w:lineRule="exact"/>
        <w:ind w:firstLine="640"/>
        <w:jc w:val="both"/>
      </w:pPr>
      <w:r>
        <w:rPr>
          <w:rFonts w:ascii="仿宋_GB2312" w:hAnsi="仿宋_GB2312" w:eastAsia="仿宋_GB2312"/>
          <w:b/>
          <w:sz w:val="32"/>
        </w:rPr>
        <w:t>2024年度财政拨款收入总计322.37万元，</w:t>
      </w:r>
      <w:r>
        <w:rPr>
          <w:rFonts w:ascii="仿宋_GB2312" w:hAnsi="仿宋_GB2312" w:eastAsia="仿宋_GB2312"/>
          <w:b w:val="0"/>
          <w:sz w:val="32"/>
        </w:rPr>
        <w:t>其中：年初财政拨款结转和结余0.00万元，本年财政拨款收入322.37万元。</w:t>
      </w:r>
      <w:r>
        <w:rPr>
          <w:rFonts w:ascii="仿宋_GB2312" w:hAnsi="仿宋_GB2312" w:eastAsia="仿宋_GB2312"/>
          <w:b/>
          <w:sz w:val="32"/>
        </w:rPr>
        <w:t>财政拨款支出总计322.37万元，</w:t>
      </w:r>
      <w:r>
        <w:rPr>
          <w:rFonts w:ascii="仿宋_GB2312" w:hAnsi="仿宋_GB2312" w:eastAsia="仿宋_GB2312"/>
          <w:b w:val="0"/>
          <w:sz w:val="32"/>
        </w:rPr>
        <w:t>其中：年末财政拨款结转和结余0.00万元，本年财政拨款支出322.37万元。</w:t>
      </w:r>
    </w:p>
    <w:p w14:paraId="4BB44CC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增加22.50万元，增长7.50%，主要原因是：本年基本药物补助资金较上年增加。</w:t>
      </w:r>
      <w:r>
        <w:rPr>
          <w:rFonts w:ascii="仿宋_GB2312" w:hAnsi="仿宋_GB2312" w:eastAsia="仿宋_GB2312"/>
          <w:b/>
          <w:sz w:val="32"/>
        </w:rPr>
        <w:t>与年初预算相比，</w:t>
      </w:r>
      <w:r>
        <w:rPr>
          <w:rFonts w:ascii="仿宋_GB2312" w:hAnsi="仿宋_GB2312" w:eastAsia="仿宋_GB2312"/>
          <w:b w:val="0"/>
          <w:sz w:val="32"/>
        </w:rPr>
        <w:t>年初预算数264.00万元，决算数322.37万元，预决算差异率22.11%，主要原因是：年中追加人员工资、社保、公积金基数调增部分资金，追加基本药物及村医补助资金，导致预决算存在差异。</w:t>
      </w:r>
    </w:p>
    <w:p w14:paraId="098E5F81">
      <w:pPr>
        <w:spacing w:line="640" w:lineRule="exact"/>
        <w:ind w:firstLine="640"/>
        <w:jc w:val="both"/>
        <w:outlineLvl w:val="2"/>
      </w:pPr>
      <w:r>
        <w:rPr>
          <w:rFonts w:ascii="黑体" w:hAnsi="黑体" w:eastAsia="黑体"/>
          <w:sz w:val="32"/>
        </w:rPr>
        <w:t>五、一般公共预算财政拨款支出决算情况说明</w:t>
      </w:r>
    </w:p>
    <w:p w14:paraId="3B0E5CEF">
      <w:pPr>
        <w:spacing w:line="640" w:lineRule="exact"/>
        <w:ind w:firstLine="640"/>
        <w:jc w:val="both"/>
        <w:outlineLvl w:val="3"/>
      </w:pPr>
      <w:r>
        <w:rPr>
          <w:rFonts w:ascii="楷体_GB2312" w:hAnsi="楷体_GB2312" w:eastAsia="楷体_GB2312"/>
          <w:b/>
          <w:sz w:val="32"/>
        </w:rPr>
        <w:t>（一）一般公共预算财政拨款支出决算总体情况</w:t>
      </w:r>
    </w:p>
    <w:p w14:paraId="6083B02D">
      <w:pPr>
        <w:spacing w:line="580" w:lineRule="exact"/>
        <w:ind w:firstLine="640"/>
        <w:jc w:val="both"/>
      </w:pPr>
      <w:r>
        <w:rPr>
          <w:rFonts w:ascii="仿宋_GB2312" w:hAnsi="仿宋_GB2312" w:eastAsia="仿宋_GB2312"/>
          <w:b/>
          <w:sz w:val="32"/>
        </w:rPr>
        <w:t>2024年度一般公共预算财政拨款支出322.19万元，</w:t>
      </w:r>
      <w:r>
        <w:rPr>
          <w:rFonts w:ascii="仿宋_GB2312" w:hAnsi="仿宋_GB2312" w:eastAsia="仿宋_GB2312"/>
          <w:b w:val="0"/>
          <w:sz w:val="32"/>
        </w:rPr>
        <w:t>占本年支出合计的77.38%。</w:t>
      </w:r>
      <w:r>
        <w:rPr>
          <w:rFonts w:ascii="仿宋_GB2312" w:hAnsi="仿宋_GB2312" w:eastAsia="仿宋_GB2312"/>
          <w:b/>
          <w:sz w:val="32"/>
        </w:rPr>
        <w:t>与上年相比，</w:t>
      </w:r>
      <w:r>
        <w:rPr>
          <w:rFonts w:ascii="仿宋_GB2312" w:hAnsi="仿宋_GB2312" w:eastAsia="仿宋_GB2312"/>
          <w:b w:val="0"/>
          <w:sz w:val="32"/>
        </w:rPr>
        <w:t>增加22.32万元，增长7.44%，主要原因是：本年基本药物补助资金较上年增加。</w:t>
      </w:r>
      <w:r>
        <w:rPr>
          <w:rFonts w:ascii="仿宋_GB2312" w:hAnsi="仿宋_GB2312" w:eastAsia="仿宋_GB2312"/>
          <w:b/>
          <w:sz w:val="32"/>
        </w:rPr>
        <w:t>与年初预算相比,</w:t>
      </w:r>
      <w:r>
        <w:rPr>
          <w:rFonts w:ascii="仿宋_GB2312" w:hAnsi="仿宋_GB2312" w:eastAsia="仿宋_GB2312"/>
          <w:b w:val="0"/>
          <w:sz w:val="32"/>
        </w:rPr>
        <w:t>年初预算数264.00万元，决算数322.19万元，预决算差异率22.04%，主要原因是：年中追加人员工资、社保、公积金基数调增部分资金，追加基本药物及村医补助资金，导致预决算存在差异。</w:t>
      </w:r>
    </w:p>
    <w:p w14:paraId="6EB2539B">
      <w:pPr>
        <w:spacing w:line="640" w:lineRule="exact"/>
        <w:ind w:firstLine="640"/>
        <w:jc w:val="both"/>
        <w:outlineLvl w:val="3"/>
      </w:pPr>
      <w:r>
        <w:rPr>
          <w:rFonts w:ascii="楷体_GB2312" w:hAnsi="楷体_GB2312" w:eastAsia="楷体_GB2312"/>
          <w:b/>
          <w:sz w:val="32"/>
        </w:rPr>
        <w:t>（二）一般公共预算财政拨款支出决算结构情况</w:t>
      </w:r>
    </w:p>
    <w:p w14:paraId="1441E63E">
      <w:pPr>
        <w:spacing w:line="580" w:lineRule="exact"/>
        <w:ind w:firstLine="640"/>
        <w:jc w:val="both"/>
      </w:pPr>
      <w:r>
        <w:rPr>
          <w:rFonts w:ascii="仿宋_GB2312" w:hAnsi="仿宋_GB2312" w:eastAsia="仿宋_GB2312"/>
          <w:b w:val="0"/>
          <w:sz w:val="32"/>
        </w:rPr>
        <w:t>1.社会保障和就业支出(类)20.05万元,占6.22%。</w:t>
      </w:r>
    </w:p>
    <w:p w14:paraId="22A0EEC4">
      <w:pPr>
        <w:spacing w:line="580" w:lineRule="exact"/>
        <w:ind w:firstLine="640"/>
        <w:jc w:val="both"/>
      </w:pPr>
      <w:r>
        <w:rPr>
          <w:rFonts w:ascii="仿宋_GB2312" w:hAnsi="仿宋_GB2312" w:eastAsia="仿宋_GB2312"/>
          <w:b w:val="0"/>
          <w:sz w:val="32"/>
        </w:rPr>
        <w:t>2.卫生健康支出(类)293.31万元,占91.04%。</w:t>
      </w:r>
    </w:p>
    <w:p w14:paraId="6EEFFF15">
      <w:pPr>
        <w:spacing w:line="580" w:lineRule="exact"/>
        <w:ind w:firstLine="640"/>
        <w:jc w:val="both"/>
      </w:pPr>
      <w:r>
        <w:rPr>
          <w:rFonts w:ascii="仿宋_GB2312" w:hAnsi="仿宋_GB2312" w:eastAsia="仿宋_GB2312"/>
          <w:b w:val="0"/>
          <w:sz w:val="32"/>
        </w:rPr>
        <w:t>3.住房保障支出(类)8.84万元,占2.74%。</w:t>
      </w:r>
    </w:p>
    <w:p w14:paraId="2006D5F2">
      <w:pPr>
        <w:spacing w:line="640" w:lineRule="exact"/>
        <w:ind w:firstLine="640"/>
        <w:jc w:val="both"/>
        <w:outlineLvl w:val="3"/>
      </w:pPr>
      <w:r>
        <w:rPr>
          <w:rFonts w:ascii="楷体_GB2312" w:hAnsi="楷体_GB2312" w:eastAsia="楷体_GB2312"/>
          <w:b/>
          <w:sz w:val="32"/>
        </w:rPr>
        <w:t>（三）一般公共预算财政拨款支出决算具体情况</w:t>
      </w:r>
    </w:p>
    <w:p w14:paraId="2B4DB954">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2.99万元，比上年决算增加1.02万元，增长51.78%,主要原因是：1.本年增加退休人员基础绩效奖，退休费支出增加；2.本年退休人员增加，退休费支出增加。</w:t>
      </w:r>
    </w:p>
    <w:p w14:paraId="6CC33B2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10.29万元，比上年决算减少1.03万元，下降9.10%,主要原因是：本年在职人员减少，单位基本养老保险缴费较上年减少。</w:t>
      </w:r>
    </w:p>
    <w:p w14:paraId="36022895">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3.社会保障和就业支出(类)行政事业单位养老支出(款)机关事业单位职业年金缴费支出(项):支出决算数为6.77万元，比上年决算增加6.77万元，增长100.00%,主要原因是：本年新增退休人员，职业年金缴费支出增加。</w:t>
      </w:r>
    </w:p>
    <w:p w14:paraId="4C02AF3A">
      <w:pPr>
        <w:spacing w:line="580" w:lineRule="exact"/>
        <w:ind w:firstLine="640"/>
        <w:jc w:val="both"/>
      </w:pPr>
      <w:r>
        <w:rPr>
          <w:rFonts w:ascii="仿宋_GB2312" w:hAnsi="仿宋_GB2312" w:eastAsia="仿宋_GB2312"/>
          <w:b w:val="0"/>
          <w:sz w:val="32"/>
        </w:rPr>
        <w:t>4.社会保障和就业支出(类)就业补助(款)其他就业补助支出(项):支出决算数为0.00万元，比上年决算减少14.28万元，下降100.00%,主要原因是：减少事业岗人员经费。</w:t>
      </w:r>
    </w:p>
    <w:p w14:paraId="1D8E2A43">
      <w:pPr>
        <w:spacing w:line="580" w:lineRule="exact"/>
        <w:ind w:firstLine="640"/>
        <w:jc w:val="both"/>
      </w:pPr>
      <w:r>
        <w:rPr>
          <w:rFonts w:ascii="仿宋_GB2312" w:hAnsi="仿宋_GB2312" w:eastAsia="仿宋_GB2312"/>
          <w:b w:val="0"/>
          <w:sz w:val="32"/>
        </w:rPr>
        <w:t>5.卫生健康支出(类)基层医疗卫生机构(款)乡镇卫生院(项):支出决算数为80.61万元，比上年决算减少33.23万元，下降29.19%,主要原因是：减少事业岗人员经费。</w:t>
      </w:r>
    </w:p>
    <w:p w14:paraId="6634C267">
      <w:pPr>
        <w:spacing w:line="580" w:lineRule="exact"/>
        <w:ind w:firstLine="640"/>
        <w:jc w:val="both"/>
      </w:pPr>
      <w:r>
        <w:rPr>
          <w:rFonts w:ascii="仿宋_GB2312" w:hAnsi="仿宋_GB2312" w:eastAsia="仿宋_GB2312"/>
          <w:b w:val="0"/>
          <w:sz w:val="32"/>
        </w:rPr>
        <w:t>6.卫生健康支出(类)基层医疗卫生机构(款)其他基层医疗卫生机构支出(项):支出决算数为61.45万元，比上年决算增加61.45万元，增长100.00%,主要原因是：基本药物补助经费较上年增加。</w:t>
      </w:r>
    </w:p>
    <w:p w14:paraId="414EC94F">
      <w:pPr>
        <w:spacing w:line="580" w:lineRule="exact"/>
        <w:ind w:firstLine="640"/>
        <w:jc w:val="both"/>
      </w:pPr>
      <w:r>
        <w:rPr>
          <w:rFonts w:ascii="仿宋_GB2312" w:hAnsi="仿宋_GB2312" w:eastAsia="仿宋_GB2312"/>
          <w:b w:val="0"/>
          <w:sz w:val="32"/>
        </w:rPr>
        <w:t>7.卫生健康支出(类)公共卫生(款)基本公共卫生服务(项):支出决算数为145.07万元，比上年决算增加0.41万元，增长0.28%,主要原因是：基本公共卫生服务资金较上年增加。</w:t>
      </w:r>
    </w:p>
    <w:p w14:paraId="581F1A50">
      <w:pPr>
        <w:spacing w:line="580" w:lineRule="exact"/>
        <w:ind w:firstLine="640"/>
        <w:jc w:val="both"/>
      </w:pPr>
      <w:r>
        <w:rPr>
          <w:rFonts w:ascii="仿宋_GB2312" w:hAnsi="仿宋_GB2312" w:eastAsia="仿宋_GB2312"/>
          <w:b w:val="0"/>
          <w:sz w:val="32"/>
        </w:rPr>
        <w:t>8.卫生健康支出(类)计划生育事务(款)</w:t>
      </w:r>
      <w:bookmarkStart w:id="0" w:name="_GoBack"/>
      <w:r>
        <w:rPr>
          <w:rFonts w:ascii="仿宋_GB2312" w:hAnsi="仿宋_GB2312" w:eastAsia="仿宋_GB2312"/>
          <w:b w:val="0"/>
          <w:sz w:val="32"/>
        </w:rPr>
        <w:t>计划生育</w:t>
      </w:r>
      <w:bookmarkEnd w:id="0"/>
      <w:r>
        <w:rPr>
          <w:rFonts w:ascii="仿宋_GB2312" w:hAnsi="仿宋_GB2312" w:eastAsia="仿宋_GB2312"/>
          <w:b w:val="0"/>
          <w:sz w:val="32"/>
        </w:rPr>
        <w:t>服务(项):支出决算数为0.27万元，比上年决算增加0.27万元，增长100.00%,主要原因是：本年新增服务经费。</w:t>
      </w:r>
    </w:p>
    <w:p w14:paraId="24817AA5">
      <w:pPr>
        <w:spacing w:line="580" w:lineRule="exact"/>
        <w:ind w:firstLine="640"/>
        <w:jc w:val="both"/>
      </w:pPr>
      <w:r>
        <w:rPr>
          <w:rFonts w:ascii="仿宋_GB2312" w:hAnsi="仿宋_GB2312" w:eastAsia="仿宋_GB2312"/>
          <w:b w:val="0"/>
          <w:sz w:val="32"/>
        </w:rPr>
        <w:t>9.卫生健康支出(类)行政事业单位医疗(款)事业单位医疗(项):支出决算数为5.92万元，比上年决算增加0.60万元，增长11.28%,主要原因是：本年在职人员工资基数调增，医疗缴费基数上涨，事业单位医疗支出增加。</w:t>
      </w:r>
    </w:p>
    <w:p w14:paraId="32B26254">
      <w:pPr>
        <w:spacing w:line="580" w:lineRule="exact"/>
        <w:ind w:firstLine="640"/>
        <w:jc w:val="both"/>
      </w:pPr>
      <w:r>
        <w:rPr>
          <w:rFonts w:ascii="仿宋_GB2312" w:hAnsi="仿宋_GB2312" w:eastAsia="仿宋_GB2312"/>
          <w:b w:val="0"/>
          <w:sz w:val="32"/>
        </w:rPr>
        <w:t>10.住房保障支出(类)住房改革支出(款)住房公积金(项):支出决算数为8.84万元，比上年决算增加0.36万元，增长4.25%,主要原因是：本年在职人员工资基数调增，公积金缴费基数上涨，住房公积金支出增加。</w:t>
      </w:r>
    </w:p>
    <w:p w14:paraId="596EA35D">
      <w:pPr>
        <w:spacing w:line="640" w:lineRule="exact"/>
        <w:ind w:firstLine="640"/>
        <w:jc w:val="both"/>
        <w:outlineLvl w:val="2"/>
      </w:pPr>
      <w:r>
        <w:rPr>
          <w:rFonts w:ascii="黑体" w:hAnsi="黑体" w:eastAsia="黑体"/>
          <w:sz w:val="32"/>
        </w:rPr>
        <w:t>六、一般公共预算财政拨款基本支出决算情况说明</w:t>
      </w:r>
    </w:p>
    <w:p w14:paraId="4F685214">
      <w:pPr>
        <w:spacing w:line="580" w:lineRule="exact"/>
        <w:ind w:firstLine="640"/>
        <w:jc w:val="both"/>
      </w:pPr>
      <w:r>
        <w:rPr>
          <w:rFonts w:ascii="仿宋_GB2312" w:hAnsi="仿宋_GB2312" w:eastAsia="仿宋_GB2312"/>
          <w:b w:val="0"/>
          <w:sz w:val="32"/>
        </w:rPr>
        <w:t>2024年度一般公共预算财政拨款基本支出115.41万元，其中：</w:t>
      </w:r>
      <w:r>
        <w:rPr>
          <w:rFonts w:ascii="仿宋_GB2312" w:hAnsi="仿宋_GB2312" w:eastAsia="仿宋_GB2312"/>
          <w:b/>
          <w:sz w:val="32"/>
        </w:rPr>
        <w:t>人员经费115.41万元，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包括：基本工资、津贴补贴、奖金、机关事业单位基本养老保险缴费、职业年金缴费、职工基本医疗保险缴费、其他社会保障缴费、住房公积金、退休费、奖励金。</w:t>
      </w:r>
    </w:p>
    <w:p w14:paraId="683B3804">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1DFCA06E">
      <w:pPr>
        <w:spacing w:line="640" w:lineRule="exact"/>
        <w:ind w:firstLine="640"/>
        <w:jc w:val="both"/>
        <w:outlineLvl w:val="2"/>
      </w:pPr>
      <w:r>
        <w:rPr>
          <w:rFonts w:ascii="黑体" w:hAnsi="黑体" w:eastAsia="黑体"/>
          <w:sz w:val="32"/>
        </w:rPr>
        <w:t>七、政府性基金预算财政拨款收入支出决算情况说明</w:t>
      </w:r>
    </w:p>
    <w:p w14:paraId="64F5CB78">
      <w:pPr>
        <w:spacing w:line="580" w:lineRule="exact"/>
        <w:ind w:firstLine="640"/>
        <w:jc w:val="both"/>
      </w:pPr>
      <w:r>
        <w:rPr>
          <w:rFonts w:ascii="仿宋_GB2312" w:hAnsi="仿宋_GB2312" w:eastAsia="仿宋_GB2312"/>
          <w:b/>
          <w:sz w:val="32"/>
        </w:rPr>
        <w:t>2024年度政府性基金预算财政拨款收入总计0.18万元，</w:t>
      </w:r>
      <w:r>
        <w:rPr>
          <w:rFonts w:ascii="仿宋_GB2312" w:hAnsi="仿宋_GB2312" w:eastAsia="仿宋_GB2312"/>
          <w:b w:val="0"/>
          <w:sz w:val="32"/>
        </w:rPr>
        <w:t>其中：年初结转和结余0.00万元，本年收入0.18万元。</w:t>
      </w:r>
      <w:r>
        <w:rPr>
          <w:rFonts w:ascii="仿宋_GB2312" w:hAnsi="仿宋_GB2312" w:eastAsia="仿宋_GB2312"/>
          <w:b/>
          <w:sz w:val="32"/>
        </w:rPr>
        <w:t>政府性基金预算财政拨款支出总计0.18万元，</w:t>
      </w:r>
      <w:r>
        <w:rPr>
          <w:rFonts w:ascii="仿宋_GB2312" w:hAnsi="仿宋_GB2312" w:eastAsia="仿宋_GB2312"/>
          <w:b w:val="0"/>
          <w:sz w:val="32"/>
        </w:rPr>
        <w:t>其中：年末结转和结余0.00万元，本年支出0.18万元。</w:t>
      </w:r>
    </w:p>
    <w:p w14:paraId="406CFF6D">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增加0.18万元，增长100.00%，主要原因是：本年增加老年人医养结合经费。</w:t>
      </w:r>
      <w:r>
        <w:rPr>
          <w:rFonts w:ascii="仿宋_GB2312" w:hAnsi="仿宋_GB2312" w:eastAsia="仿宋_GB2312"/>
          <w:b/>
          <w:sz w:val="32"/>
        </w:rPr>
        <w:t>与年初预算相比，</w:t>
      </w:r>
      <w:r>
        <w:rPr>
          <w:rFonts w:ascii="仿宋_GB2312" w:hAnsi="仿宋_GB2312" w:eastAsia="仿宋_GB2312"/>
          <w:b w:val="0"/>
          <w:sz w:val="32"/>
        </w:rPr>
        <w:t>年初预算数0.00万元，决算数0.18万元，预决算差异率100.00%，主要原因是：年中追加老年人医养结合经费。</w:t>
      </w:r>
    </w:p>
    <w:p w14:paraId="15235EB2">
      <w:pPr>
        <w:spacing w:line="580" w:lineRule="exact"/>
        <w:ind w:firstLine="640"/>
        <w:jc w:val="both"/>
      </w:pPr>
      <w:r>
        <w:rPr>
          <w:rFonts w:ascii="仿宋_GB2312" w:hAnsi="仿宋_GB2312" w:eastAsia="仿宋_GB2312"/>
          <w:b w:val="0"/>
          <w:sz w:val="32"/>
        </w:rPr>
        <w:t>政府性基金预算财政拨款支出0.18万元。</w:t>
      </w:r>
    </w:p>
    <w:p w14:paraId="49E8E995">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1.其他支出(类)彩票公益金安排的支出(款)用于社会福利的彩票公益金支出(项):支出决算数为0.18万元，比上年决算增加0.18万元，增长100.00%,主要原因是：本年增加老年人医养结合经费。</w:t>
      </w:r>
    </w:p>
    <w:p w14:paraId="0D86E2C0">
      <w:pPr>
        <w:spacing w:line="640" w:lineRule="exact"/>
        <w:ind w:firstLine="640"/>
        <w:jc w:val="both"/>
        <w:outlineLvl w:val="2"/>
      </w:pPr>
      <w:r>
        <w:rPr>
          <w:rFonts w:ascii="黑体" w:hAnsi="黑体" w:eastAsia="黑体"/>
          <w:sz w:val="32"/>
        </w:rPr>
        <w:t>八、国有资本经营预算财政拨款收入支出决算情况说明</w:t>
      </w:r>
    </w:p>
    <w:p w14:paraId="4A7D624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F106393">
      <w:pPr>
        <w:spacing w:line="640" w:lineRule="exact"/>
        <w:ind w:firstLine="640"/>
        <w:jc w:val="both"/>
        <w:outlineLvl w:val="2"/>
      </w:pPr>
      <w:r>
        <w:rPr>
          <w:rFonts w:ascii="黑体" w:hAnsi="黑体" w:eastAsia="黑体"/>
          <w:sz w:val="32"/>
        </w:rPr>
        <w:t>九、财政拨款“三公”经费支出决算情况说明</w:t>
      </w:r>
    </w:p>
    <w:p w14:paraId="5E6F14E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404E888">
      <w:pPr>
        <w:spacing w:line="580" w:lineRule="exact"/>
        <w:ind w:firstLine="640"/>
        <w:jc w:val="both"/>
      </w:pPr>
      <w:r>
        <w:rPr>
          <w:rFonts w:ascii="仿宋_GB2312" w:hAnsi="仿宋_GB2312" w:eastAsia="仿宋_GB2312"/>
          <w:b/>
          <w:sz w:val="32"/>
        </w:rPr>
        <w:t>具体情况如下：</w:t>
      </w:r>
    </w:p>
    <w:p w14:paraId="6D46AFD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FA1AEB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397ECEE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9BC11C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7D06D9F">
      <w:pPr>
        <w:spacing w:line="640" w:lineRule="exact"/>
        <w:ind w:firstLine="640"/>
        <w:jc w:val="both"/>
        <w:outlineLvl w:val="2"/>
      </w:pPr>
      <w:r>
        <w:rPr>
          <w:rFonts w:ascii="黑体" w:hAnsi="黑体" w:eastAsia="黑体"/>
          <w:sz w:val="32"/>
        </w:rPr>
        <w:t>十、其他重要事项的情况说明</w:t>
      </w:r>
    </w:p>
    <w:p w14:paraId="5E4E8FC2">
      <w:pPr>
        <w:spacing w:line="640" w:lineRule="exact"/>
        <w:ind w:firstLine="640"/>
        <w:jc w:val="both"/>
        <w:outlineLvl w:val="3"/>
      </w:pPr>
      <w:r>
        <w:rPr>
          <w:rFonts w:ascii="楷体_GB2312" w:hAnsi="楷体_GB2312" w:eastAsia="楷体_GB2312"/>
          <w:b/>
          <w:sz w:val="32"/>
        </w:rPr>
        <w:t>（一）机关运行经费及公用经费支出情况</w:t>
      </w:r>
    </w:p>
    <w:p w14:paraId="09E316D5">
      <w:pPr>
        <w:spacing w:line="580" w:lineRule="exact"/>
        <w:ind w:firstLine="640"/>
        <w:jc w:val="both"/>
      </w:pPr>
      <w:r>
        <w:rPr>
          <w:rFonts w:ascii="仿宋_GB2312" w:hAnsi="仿宋_GB2312" w:eastAsia="仿宋_GB2312"/>
          <w:b w:val="0"/>
          <w:sz w:val="32"/>
        </w:rPr>
        <w:t>2024年度且末县且末镇卫生院（事业单位）公用经费支出0.00万元，比上年减少10.08万元，下降100.00%，主要原因是：2024年未安排公用经费支出。</w:t>
      </w:r>
    </w:p>
    <w:p w14:paraId="1A62DC9F">
      <w:pPr>
        <w:spacing w:line="640" w:lineRule="exact"/>
        <w:ind w:firstLine="640"/>
        <w:jc w:val="both"/>
        <w:outlineLvl w:val="3"/>
      </w:pPr>
      <w:r>
        <w:rPr>
          <w:rFonts w:ascii="楷体_GB2312" w:hAnsi="楷体_GB2312" w:eastAsia="楷体_GB2312"/>
          <w:b/>
          <w:sz w:val="32"/>
        </w:rPr>
        <w:t>（二）政府采购情况</w:t>
      </w:r>
    </w:p>
    <w:p w14:paraId="4195312A">
      <w:pPr>
        <w:spacing w:line="580" w:lineRule="exact"/>
        <w:ind w:firstLine="640"/>
        <w:jc w:val="both"/>
      </w:pPr>
      <w:r>
        <w:rPr>
          <w:rFonts w:ascii="仿宋_GB2312" w:hAnsi="仿宋_GB2312" w:eastAsia="仿宋_GB2312"/>
          <w:b w:val="0"/>
          <w:sz w:val="32"/>
        </w:rPr>
        <w:t>2024年度政府采购支出总额88.65万元，其中：政府采购货物支出35.95万元、政府采购工程支出7.20万元、政府采购服务支出45.50万元。</w:t>
      </w:r>
    </w:p>
    <w:p w14:paraId="34D90A07">
      <w:pPr>
        <w:spacing w:line="580" w:lineRule="exact"/>
        <w:ind w:firstLine="640"/>
        <w:jc w:val="both"/>
      </w:pPr>
      <w:r>
        <w:rPr>
          <w:rFonts w:ascii="仿宋_GB2312" w:hAnsi="仿宋_GB2312" w:eastAsia="仿宋_GB2312"/>
          <w:b w:val="0"/>
          <w:sz w:val="32"/>
        </w:rPr>
        <w:t>授予中小企业合同金额76.74万元，占政府采购支出总额的86.57%，其中：授予小微企业合同金额59.48万元，占政府采购支出总额的67.10%。</w:t>
      </w:r>
    </w:p>
    <w:p w14:paraId="0A73BB4E">
      <w:pPr>
        <w:spacing w:line="640" w:lineRule="exact"/>
        <w:ind w:firstLine="640"/>
        <w:jc w:val="both"/>
        <w:outlineLvl w:val="3"/>
      </w:pPr>
      <w:r>
        <w:rPr>
          <w:rFonts w:ascii="楷体_GB2312" w:hAnsi="楷体_GB2312" w:eastAsia="楷体_GB2312"/>
          <w:b/>
          <w:sz w:val="32"/>
        </w:rPr>
        <w:t>（三）国有资产占用情况说明</w:t>
      </w:r>
    </w:p>
    <w:p w14:paraId="0AD7A84A">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DF71464">
      <w:pPr>
        <w:spacing w:line="640" w:lineRule="exact"/>
        <w:ind w:firstLine="640"/>
        <w:jc w:val="both"/>
        <w:outlineLvl w:val="2"/>
      </w:pPr>
      <w:r>
        <w:rPr>
          <w:rFonts w:ascii="黑体" w:hAnsi="黑体" w:eastAsia="黑体"/>
          <w:sz w:val="32"/>
        </w:rPr>
        <w:t>十一、预算绩效的情况说明</w:t>
      </w:r>
    </w:p>
    <w:p w14:paraId="7AE3DB58">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项目绩效。发现的问题及原因：2024年我单位无预算项目绩效。下一步改进措施：2024年我单位无预算项目绩效。</w:t>
      </w:r>
    </w:p>
    <w:p w14:paraId="243A0A81">
      <w:r>
        <w:br w:type="page"/>
      </w:r>
    </w:p>
    <w:p w14:paraId="117321C6">
      <w:pPr>
        <w:spacing w:line="640" w:lineRule="exact"/>
        <w:ind w:firstLine="640"/>
        <w:jc w:val="both"/>
        <w:outlineLvl w:val="2"/>
      </w:pPr>
      <w:r>
        <w:rPr>
          <w:rFonts w:ascii="黑体" w:hAnsi="黑体" w:eastAsia="黑体"/>
          <w:sz w:val="32"/>
        </w:rPr>
        <w:t>十二、其他需说明的事项</w:t>
      </w:r>
    </w:p>
    <w:p w14:paraId="1805485B">
      <w:pPr>
        <w:spacing w:line="580" w:lineRule="exact"/>
        <w:ind w:firstLine="640"/>
        <w:jc w:val="both"/>
      </w:pPr>
      <w:r>
        <w:rPr>
          <w:rFonts w:ascii="仿宋_GB2312" w:hAnsi="仿宋_GB2312" w:eastAsia="仿宋_GB2312"/>
          <w:b w:val="0"/>
          <w:sz w:val="32"/>
        </w:rPr>
        <w:t>本年度本单位整体绩效自评表由主管部门编报并公开。</w:t>
      </w:r>
    </w:p>
    <w:p w14:paraId="7AE5EEF4">
      <w:r>
        <w:br w:type="page"/>
      </w:r>
    </w:p>
    <w:p w14:paraId="51BF5000">
      <w:pPr>
        <w:spacing w:line="240" w:lineRule="auto"/>
        <w:jc w:val="center"/>
        <w:outlineLvl w:val="1"/>
      </w:pPr>
      <w:r>
        <w:rPr>
          <w:rFonts w:ascii="黑体" w:hAnsi="黑体" w:eastAsia="黑体"/>
          <w:sz w:val="32"/>
        </w:rPr>
        <w:t>第三部分 专业名词解释</w:t>
      </w:r>
    </w:p>
    <w:p w14:paraId="3A392D4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549142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2454A4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2306CE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845851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4374D4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562CA1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18066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C57D22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D51040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090410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5DCD08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A1C869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144369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6515AF1">
      <w:r>
        <w:br w:type="page"/>
      </w:r>
    </w:p>
    <w:p w14:paraId="20D674F1">
      <w:pPr>
        <w:spacing w:line="240" w:lineRule="auto"/>
        <w:jc w:val="center"/>
        <w:outlineLvl w:val="1"/>
      </w:pPr>
      <w:r>
        <w:rPr>
          <w:rFonts w:ascii="黑体" w:hAnsi="黑体" w:eastAsia="黑体"/>
          <w:sz w:val="32"/>
        </w:rPr>
        <w:t>第四部分 部门决算报表（见附表）</w:t>
      </w:r>
    </w:p>
    <w:p w14:paraId="591A7F2C">
      <w:pPr>
        <w:spacing w:line="240" w:lineRule="auto"/>
        <w:ind w:firstLine="640"/>
        <w:jc w:val="both"/>
      </w:pPr>
      <w:r>
        <w:rPr>
          <w:rFonts w:ascii="仿宋_GB2312" w:hAnsi="仿宋_GB2312" w:eastAsia="仿宋_GB2312"/>
          <w:b w:val="0"/>
          <w:sz w:val="32"/>
        </w:rPr>
        <w:t>一、《收入支出决算总表》</w:t>
      </w:r>
    </w:p>
    <w:p w14:paraId="2FDB7D01">
      <w:pPr>
        <w:spacing w:line="240" w:lineRule="auto"/>
        <w:ind w:firstLine="640"/>
        <w:jc w:val="both"/>
      </w:pPr>
      <w:r>
        <w:rPr>
          <w:rFonts w:ascii="仿宋_GB2312" w:hAnsi="仿宋_GB2312" w:eastAsia="仿宋_GB2312"/>
          <w:b w:val="0"/>
          <w:sz w:val="32"/>
        </w:rPr>
        <w:t>二、《收入决算表》</w:t>
      </w:r>
    </w:p>
    <w:p w14:paraId="38531266">
      <w:pPr>
        <w:spacing w:line="240" w:lineRule="auto"/>
        <w:ind w:firstLine="640"/>
        <w:jc w:val="both"/>
      </w:pPr>
      <w:r>
        <w:rPr>
          <w:rFonts w:ascii="仿宋_GB2312" w:hAnsi="仿宋_GB2312" w:eastAsia="仿宋_GB2312"/>
          <w:b w:val="0"/>
          <w:sz w:val="32"/>
        </w:rPr>
        <w:t>三、《支出决算表》</w:t>
      </w:r>
    </w:p>
    <w:p w14:paraId="579FFE78">
      <w:pPr>
        <w:spacing w:line="240" w:lineRule="auto"/>
        <w:ind w:firstLine="640"/>
        <w:jc w:val="both"/>
      </w:pPr>
      <w:r>
        <w:rPr>
          <w:rFonts w:ascii="仿宋_GB2312" w:hAnsi="仿宋_GB2312" w:eastAsia="仿宋_GB2312"/>
          <w:b w:val="0"/>
          <w:sz w:val="32"/>
        </w:rPr>
        <w:t>四、《财政拨款收入支出决算总表》</w:t>
      </w:r>
    </w:p>
    <w:p w14:paraId="5C58FFAF">
      <w:pPr>
        <w:spacing w:line="240" w:lineRule="auto"/>
        <w:ind w:firstLine="640"/>
        <w:jc w:val="both"/>
      </w:pPr>
      <w:r>
        <w:rPr>
          <w:rFonts w:ascii="仿宋_GB2312" w:hAnsi="仿宋_GB2312" w:eastAsia="仿宋_GB2312"/>
          <w:b w:val="0"/>
          <w:sz w:val="32"/>
        </w:rPr>
        <w:t>五、《一般公共预算财政拨款支出决算表》</w:t>
      </w:r>
    </w:p>
    <w:p w14:paraId="216F4331">
      <w:pPr>
        <w:spacing w:line="240" w:lineRule="auto"/>
        <w:ind w:firstLine="640"/>
        <w:jc w:val="both"/>
      </w:pPr>
      <w:r>
        <w:rPr>
          <w:rFonts w:ascii="仿宋_GB2312" w:hAnsi="仿宋_GB2312" w:eastAsia="仿宋_GB2312"/>
          <w:b w:val="0"/>
          <w:sz w:val="32"/>
        </w:rPr>
        <w:t>六、《一般公共预算财政拨款基本支出决算表》</w:t>
      </w:r>
    </w:p>
    <w:p w14:paraId="161CF261">
      <w:pPr>
        <w:spacing w:line="240" w:lineRule="auto"/>
        <w:ind w:firstLine="640"/>
        <w:jc w:val="both"/>
      </w:pPr>
      <w:r>
        <w:rPr>
          <w:rFonts w:ascii="仿宋_GB2312" w:hAnsi="仿宋_GB2312" w:eastAsia="仿宋_GB2312"/>
          <w:b w:val="0"/>
          <w:sz w:val="32"/>
        </w:rPr>
        <w:t>七、《政府性基金预算财政拨款收入支出决算表》</w:t>
      </w:r>
    </w:p>
    <w:p w14:paraId="558155FE">
      <w:pPr>
        <w:spacing w:line="240" w:lineRule="auto"/>
        <w:ind w:firstLine="640"/>
        <w:jc w:val="both"/>
      </w:pPr>
      <w:r>
        <w:rPr>
          <w:rFonts w:ascii="仿宋_GB2312" w:hAnsi="仿宋_GB2312" w:eastAsia="仿宋_GB2312"/>
          <w:b w:val="0"/>
          <w:sz w:val="32"/>
        </w:rPr>
        <w:t>八、《国有资本经营预算财政拨款收入支出决算表》</w:t>
      </w:r>
    </w:p>
    <w:p w14:paraId="5DCE137C">
      <w:pPr>
        <w:spacing w:line="240" w:lineRule="auto"/>
        <w:ind w:firstLine="640"/>
        <w:jc w:val="both"/>
      </w:pPr>
      <w:r>
        <w:rPr>
          <w:rFonts w:ascii="仿宋_GB2312" w:hAnsi="仿宋_GB2312" w:eastAsia="仿宋_GB2312"/>
          <w:b w:val="0"/>
          <w:sz w:val="32"/>
        </w:rPr>
        <w:t>九、《财政拨款“三公”经费支出决算表》</w:t>
      </w:r>
    </w:p>
    <w:p w14:paraId="5BDF35EF">
      <w:pPr>
        <w:spacing w:line="240" w:lineRule="auto"/>
        <w:ind w:firstLine="640"/>
        <w:jc w:val="both"/>
      </w:pPr>
    </w:p>
    <w:p w14:paraId="718DA85B">
      <w:pPr>
        <w:spacing w:line="240" w:lineRule="auto"/>
        <w:ind w:firstLine="640"/>
        <w:jc w:val="both"/>
      </w:pPr>
    </w:p>
    <w:p w14:paraId="2C86E6D1">
      <w:pPr>
        <w:spacing w:line="240" w:lineRule="auto"/>
        <w:ind w:firstLine="640"/>
        <w:jc w:val="both"/>
      </w:pPr>
    </w:p>
    <w:p w14:paraId="728327DD">
      <w:pPr>
        <w:spacing w:line="240" w:lineRule="auto"/>
        <w:ind w:firstLine="640"/>
        <w:jc w:val="both"/>
      </w:pPr>
    </w:p>
    <w:p w14:paraId="7C50F45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F95280-979E-4475-BEEF-47B47B9C92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F5EEA85-BD3E-4CC6-8987-DA0D80113D5D}"/>
  </w:font>
  <w:font w:name="仿宋_GB2312">
    <w:panose1 w:val="02010609030101010101"/>
    <w:charset w:val="86"/>
    <w:family w:val="modern"/>
    <w:pitch w:val="default"/>
    <w:sig w:usb0="00000001" w:usb1="080E0000" w:usb2="00000000" w:usb3="00000000" w:csb0="00040000" w:csb1="00000000"/>
    <w:embedRegular r:id="rId3" w:fontKey="{4253C716-43AF-4248-9CA6-8F5E54802814}"/>
  </w:font>
  <w:font w:name="楷体_GB2312">
    <w:panose1 w:val="02010609030101010101"/>
    <w:charset w:val="86"/>
    <w:family w:val="auto"/>
    <w:pitch w:val="default"/>
    <w:sig w:usb0="00000001" w:usb1="080E0000" w:usb2="00000000" w:usb3="00000000" w:csb0="00040000" w:csb1="00000000"/>
    <w:embedRegular r:id="rId4" w:fontKey="{3CC1521E-9C73-4E1A-998A-AC44F50B86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D8B4DDF"/>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5426</Words>
  <Characters>6160</Characters>
  <Lines>0</Lines>
  <Paragraphs>0</Paragraphs>
  <TotalTime>2</TotalTime>
  <ScaleCrop>false</ScaleCrop>
  <LinksUpToDate>false</LinksUpToDate>
  <CharactersWithSpaces>6170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2025-09-26T05:31:48Z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