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中共且末县委员会统一战线工作部本级2024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0754B9D">
      <w:r>
        <w:br w:type="page"/>
      </w:r>
    </w:p>
    <w:p w14:paraId="2EABF366">
      <w:pPr>
        <w:spacing w:line="640" w:lineRule="exact"/>
        <w:jc w:val="center"/>
        <w:outlineLvl w:val="1"/>
      </w:pPr>
      <w:r>
        <w:rPr>
          <w:rFonts w:ascii="黑体" w:hAnsi="黑体" w:eastAsia="黑体"/>
          <w:sz w:val="32"/>
        </w:rPr>
        <w:t>第一部分 部门概况</w:t>
      </w:r>
    </w:p>
    <w:p w14:paraId="03911B1B">
      <w:pPr>
        <w:spacing w:line="640" w:lineRule="exact"/>
        <w:ind w:firstLine="640"/>
        <w:jc w:val="both"/>
        <w:outlineLvl w:val="2"/>
      </w:pPr>
      <w:r>
        <w:rPr>
          <w:rFonts w:ascii="黑体" w:hAnsi="黑体" w:eastAsia="黑体"/>
          <w:sz w:val="32"/>
        </w:rPr>
        <w:t>一、主要职能</w:t>
      </w:r>
    </w:p>
    <w:p w14:paraId="2D918C0F">
      <w:pPr>
        <w:spacing w:line="580" w:lineRule="exact"/>
        <w:ind w:firstLine="640"/>
        <w:jc w:val="both"/>
      </w:pPr>
      <w:r>
        <w:rPr>
          <w:rFonts w:ascii="仿宋_GB2312" w:hAnsi="仿宋_GB2312" w:eastAsia="仿宋_GB2312"/>
          <w:sz w:val="32"/>
        </w:rPr>
        <w:t>1.紧紧围绕社会稳定和长治久安总目标，发挥且末县党委在统战工作方面的参谋机构、组织协调机构、具体执行机构、督促检查机构作用，了解情况，掌握政策、协调关系、政治安排、增进共识、加强团结，协调统一战线各方面关系，巩固壮大最广泛的统一战线。</w:t>
      </w:r>
    </w:p>
    <w:p w14:paraId="16FDB047">
      <w:pPr>
        <w:spacing w:line="580" w:lineRule="exact"/>
        <w:ind w:firstLine="640"/>
        <w:jc w:val="both"/>
      </w:pPr>
      <w:r>
        <w:rPr>
          <w:rFonts w:ascii="仿宋_GB2312" w:hAnsi="仿宋_GB2312" w:eastAsia="仿宋_GB2312"/>
          <w:sz w:val="32"/>
        </w:rPr>
        <w:t>2.深入调查研究，及时向且末县党委报告统一战线工作情况并提出建议，统筹协调和指导各乡（镇）场、各部门各单位、社团、协会的统一战线工作。负责且末县党委统战工作领导小组办公室的各项工作。</w:t>
      </w:r>
    </w:p>
    <w:p w14:paraId="2D72665C">
      <w:pPr>
        <w:spacing w:line="580" w:lineRule="exact"/>
        <w:ind w:firstLine="640"/>
        <w:jc w:val="both"/>
      </w:pPr>
      <w:r>
        <w:rPr>
          <w:rFonts w:ascii="仿宋_GB2312" w:hAnsi="仿宋_GB2312" w:eastAsia="仿宋_GB2312"/>
          <w:sz w:val="32"/>
        </w:rPr>
        <w:t>3.负责发现、培养党外代表人士，负责党外人士的政治安排，会同有关部门安排党外人士担任政府和司法机关等领导职务的工作，反映和协调解决党外代表人士工作生活中的实际困难。</w:t>
      </w:r>
    </w:p>
    <w:p w14:paraId="12821979">
      <w:pPr>
        <w:spacing w:line="580" w:lineRule="exact"/>
        <w:ind w:firstLine="640"/>
        <w:jc w:val="both"/>
      </w:pPr>
      <w:r>
        <w:rPr>
          <w:rFonts w:ascii="仿宋_GB2312" w:hAnsi="仿宋_GB2312" w:eastAsia="仿宋_GB2312"/>
          <w:sz w:val="32"/>
        </w:rPr>
        <w:t>4.贯彻落实党的宣传工作方针，统筹推进县内外统一战线宣传工作，研判涉及统一战线的舆情并协调有关部门应对处置。</w:t>
      </w:r>
    </w:p>
    <w:p w14:paraId="2282BC1D">
      <w:pPr>
        <w:spacing w:line="580" w:lineRule="exact"/>
        <w:ind w:firstLine="640"/>
        <w:jc w:val="both"/>
      </w:pPr>
      <w:r>
        <w:rPr>
          <w:rFonts w:ascii="仿宋_GB2312" w:hAnsi="仿宋_GB2312" w:eastAsia="仿宋_GB2312"/>
          <w:sz w:val="32"/>
        </w:rPr>
        <w:t>5.负责联系各民主党派，通报情况、</w:t>
      </w:r>
      <w:r>
        <w:rPr>
          <w:rFonts w:hint="eastAsia" w:ascii="仿宋_GB2312" w:hAnsi="仿宋_GB2312" w:eastAsia="仿宋_GB2312"/>
          <w:sz w:val="32"/>
          <w:lang w:eastAsia="zh-CN"/>
        </w:rPr>
        <w:t>反映</w:t>
      </w:r>
      <w:r>
        <w:rPr>
          <w:rFonts w:ascii="仿宋_GB2312" w:hAnsi="仿宋_GB2312" w:eastAsia="仿宋_GB2312"/>
          <w:sz w:val="32"/>
        </w:rPr>
        <w:t>意见，贯彻落实中国共产党领导的多党合作和政治协商制度以及对民主党派的方针政策，支持、帮助民主党派加强自身建设，支持民主党派履行职能、发挥作用。</w:t>
      </w:r>
    </w:p>
    <w:p w14:paraId="764710A3">
      <w:pPr>
        <w:spacing w:line="580" w:lineRule="exact"/>
        <w:ind w:firstLine="640"/>
        <w:jc w:val="both"/>
      </w:pPr>
      <w:r>
        <w:rPr>
          <w:rFonts w:ascii="仿宋_GB2312" w:hAnsi="仿宋_GB2312" w:eastAsia="仿宋_GB2312"/>
          <w:sz w:val="32"/>
        </w:rPr>
        <w:t>6.督促民族工作政策措施落实，协调处理民族工作中的重大问题，根据分工做好少数民族干部工作，依法管理民族事务，全面推进民族事业发展。</w:t>
      </w:r>
    </w:p>
    <w:p w14:paraId="0177E083">
      <w:pPr>
        <w:spacing w:line="580" w:lineRule="exact"/>
        <w:ind w:firstLine="640"/>
        <w:jc w:val="both"/>
      </w:pPr>
      <w:r>
        <w:rPr>
          <w:rFonts w:ascii="仿宋_GB2312" w:hAnsi="仿宋_GB2312" w:eastAsia="仿宋_GB2312"/>
          <w:sz w:val="32"/>
        </w:rPr>
        <w:t>7.督促</w:t>
      </w:r>
      <w:r>
        <w:rPr>
          <w:rFonts w:hint="eastAsia" w:ascii="仿宋_GB2312" w:hAnsi="仿宋_GB2312" w:eastAsia="仿宋_GB2312"/>
          <w:sz w:val="32"/>
          <w:lang w:eastAsia="zh-CN"/>
        </w:rPr>
        <w:t>ZJ</w:t>
      </w:r>
      <w:r>
        <w:rPr>
          <w:rFonts w:ascii="仿宋_GB2312" w:hAnsi="仿宋_GB2312" w:eastAsia="仿宋_GB2312"/>
          <w:sz w:val="32"/>
        </w:rPr>
        <w:t>工作政策措施落实，依法管理</w:t>
      </w:r>
      <w:r>
        <w:rPr>
          <w:rFonts w:hint="eastAsia" w:ascii="仿宋_GB2312" w:hAnsi="仿宋_GB2312" w:eastAsia="仿宋_GB2312"/>
          <w:sz w:val="32"/>
          <w:lang w:eastAsia="zh-CN"/>
        </w:rPr>
        <w:t>ZJ</w:t>
      </w:r>
      <w:r>
        <w:rPr>
          <w:rFonts w:ascii="仿宋_GB2312" w:hAnsi="仿宋_GB2312" w:eastAsia="仿宋_GB2312"/>
          <w:sz w:val="32"/>
        </w:rPr>
        <w:t>行政事务，保护公民</w:t>
      </w:r>
      <w:r>
        <w:rPr>
          <w:rFonts w:hint="eastAsia" w:ascii="仿宋_GB2312" w:hAnsi="仿宋_GB2312" w:eastAsia="仿宋_GB2312"/>
          <w:sz w:val="32"/>
          <w:lang w:eastAsia="zh-CN"/>
        </w:rPr>
        <w:t>ZJ</w:t>
      </w:r>
      <w:r>
        <w:rPr>
          <w:rFonts w:ascii="仿宋_GB2312" w:hAnsi="仿宋_GB2312" w:eastAsia="仿宋_GB2312"/>
          <w:sz w:val="32"/>
        </w:rPr>
        <w:t>信仰自由和正常的</w:t>
      </w:r>
      <w:r>
        <w:rPr>
          <w:rFonts w:hint="eastAsia" w:ascii="仿宋_GB2312" w:hAnsi="仿宋_GB2312" w:eastAsia="仿宋_GB2312"/>
          <w:sz w:val="32"/>
          <w:lang w:eastAsia="zh-CN"/>
        </w:rPr>
        <w:t>ZJ</w:t>
      </w:r>
      <w:r>
        <w:rPr>
          <w:rFonts w:ascii="仿宋_GB2312" w:hAnsi="仿宋_GB2312" w:eastAsia="仿宋_GB2312"/>
          <w:sz w:val="32"/>
        </w:rPr>
        <w:t>活动，维护</w:t>
      </w:r>
      <w:r>
        <w:rPr>
          <w:rFonts w:hint="eastAsia" w:ascii="仿宋_GB2312" w:hAnsi="仿宋_GB2312" w:eastAsia="仿宋_GB2312"/>
          <w:sz w:val="32"/>
          <w:lang w:eastAsia="zh-CN"/>
        </w:rPr>
        <w:t>ZJ</w:t>
      </w:r>
      <w:r>
        <w:rPr>
          <w:rFonts w:ascii="仿宋_GB2312" w:hAnsi="仿宋_GB2312" w:eastAsia="仿宋_GB2312"/>
          <w:sz w:val="32"/>
        </w:rPr>
        <w:t>界合法权益。</w:t>
      </w:r>
    </w:p>
    <w:p w14:paraId="0B8CC8C0">
      <w:pPr>
        <w:spacing w:line="580" w:lineRule="exact"/>
        <w:ind w:firstLine="640"/>
        <w:jc w:val="both"/>
      </w:pPr>
      <w:r>
        <w:rPr>
          <w:rFonts w:ascii="仿宋_GB2312" w:hAnsi="仿宋_GB2312" w:eastAsia="仿宋_GB2312"/>
          <w:sz w:val="32"/>
        </w:rPr>
        <w:t>8.监督办理少数民族权益保障事宜。</w:t>
      </w:r>
    </w:p>
    <w:p w14:paraId="700D5CD4">
      <w:pPr>
        <w:spacing w:line="580" w:lineRule="exact"/>
        <w:ind w:firstLine="640"/>
        <w:jc w:val="both"/>
      </w:pPr>
      <w:r>
        <w:rPr>
          <w:rFonts w:ascii="仿宋_GB2312" w:hAnsi="仿宋_GB2312" w:eastAsia="仿宋_GB2312"/>
          <w:sz w:val="32"/>
        </w:rPr>
        <w:t>9.组织开展全县少数民族人权状况、妇女儿童状况和散居杂居少数民族情况的调查研究，配合有关部门拟订我县少数民族人权情况报告等事宜。</w:t>
      </w:r>
    </w:p>
    <w:p w14:paraId="26C1075E">
      <w:pPr>
        <w:spacing w:line="580" w:lineRule="exact"/>
        <w:ind w:firstLine="640"/>
        <w:jc w:val="both"/>
      </w:pPr>
      <w:r>
        <w:rPr>
          <w:rFonts w:ascii="仿宋_GB2312" w:hAnsi="仿宋_GB2312" w:eastAsia="仿宋_GB2312"/>
          <w:sz w:val="32"/>
        </w:rPr>
        <w:t>10.参与拟订少数民族文化、艺术、卫生、体育、新闻出版等方面的策划、规划，组织监督检查相关政策、措施的贯彻落实；组织协调举办且末县少数民族传统体育运动会；组织参加自治区、自治州少数民族传统文化体育运动会；指导民族古籍的搜集、整理、出版等工作。</w:t>
      </w:r>
    </w:p>
    <w:p w14:paraId="29486557">
      <w:pPr>
        <w:spacing w:line="580" w:lineRule="exact"/>
        <w:ind w:firstLine="640"/>
        <w:jc w:val="both"/>
      </w:pPr>
      <w:r>
        <w:rPr>
          <w:rFonts w:ascii="仿宋_GB2312" w:hAnsi="仿宋_GB2312" w:eastAsia="仿宋_GB2312"/>
          <w:sz w:val="32"/>
        </w:rPr>
        <w:t>11.参与拟订全县少数民族人才队伍建设规划，联系少数民族干部，掌握少数民族干部情况，协助有关部门做好少数民族干部的培养、教育和使用等工作；制定民族、</w:t>
      </w:r>
      <w:r>
        <w:rPr>
          <w:rFonts w:hint="eastAsia" w:ascii="仿宋_GB2312" w:hAnsi="仿宋_GB2312" w:eastAsia="仿宋_GB2312"/>
          <w:sz w:val="32"/>
          <w:lang w:eastAsia="zh-CN"/>
        </w:rPr>
        <w:t>ZJ</w:t>
      </w:r>
      <w:r>
        <w:rPr>
          <w:rFonts w:ascii="仿宋_GB2312" w:hAnsi="仿宋_GB2312" w:eastAsia="仿宋_GB2312"/>
          <w:sz w:val="32"/>
        </w:rPr>
        <w:t>工作干部培训规划并组织落实。</w:t>
      </w:r>
    </w:p>
    <w:p w14:paraId="5B1C6C18">
      <w:pPr>
        <w:spacing w:line="580" w:lineRule="exact"/>
        <w:ind w:firstLine="640"/>
        <w:jc w:val="both"/>
      </w:pPr>
      <w:r>
        <w:rPr>
          <w:rFonts w:ascii="仿宋_GB2312" w:hAnsi="仿宋_GB2312" w:eastAsia="仿宋_GB2312"/>
          <w:sz w:val="32"/>
        </w:rPr>
        <w:t>12.组织实施国家、自治区、自治州的</w:t>
      </w:r>
      <w:r>
        <w:rPr>
          <w:rFonts w:hint="eastAsia" w:ascii="仿宋_GB2312" w:hAnsi="仿宋_GB2312" w:eastAsia="仿宋_GB2312"/>
          <w:sz w:val="32"/>
          <w:lang w:eastAsia="zh-CN"/>
        </w:rPr>
        <w:t>ZJ</w:t>
      </w:r>
      <w:r>
        <w:rPr>
          <w:rFonts w:ascii="仿宋_GB2312" w:hAnsi="仿宋_GB2312" w:eastAsia="仿宋_GB2312"/>
          <w:sz w:val="32"/>
        </w:rPr>
        <w:t>法律、法规和政策，引导、促进</w:t>
      </w:r>
      <w:r>
        <w:rPr>
          <w:rFonts w:hint="eastAsia" w:ascii="仿宋_GB2312" w:hAnsi="仿宋_GB2312" w:eastAsia="仿宋_GB2312"/>
          <w:sz w:val="32"/>
          <w:lang w:eastAsia="zh-CN"/>
        </w:rPr>
        <w:t>ZJ</w:t>
      </w:r>
      <w:r>
        <w:rPr>
          <w:rFonts w:ascii="仿宋_GB2312" w:hAnsi="仿宋_GB2312" w:eastAsia="仿宋_GB2312"/>
          <w:sz w:val="32"/>
        </w:rPr>
        <w:t>在法律、法规和政策范围内活动；负责</w:t>
      </w:r>
      <w:r>
        <w:rPr>
          <w:rFonts w:hint="eastAsia" w:ascii="仿宋_GB2312" w:hAnsi="仿宋_GB2312" w:eastAsia="仿宋_GB2312"/>
          <w:sz w:val="32"/>
          <w:lang w:eastAsia="zh-CN"/>
        </w:rPr>
        <w:t>ZJ</w:t>
      </w:r>
      <w:r>
        <w:rPr>
          <w:rFonts w:ascii="仿宋_GB2312" w:hAnsi="仿宋_GB2312" w:eastAsia="仿宋_GB2312"/>
          <w:sz w:val="32"/>
        </w:rPr>
        <w:t>事务管理方面的行政复议等法律事务。</w:t>
      </w:r>
    </w:p>
    <w:p w14:paraId="2E6DC9E9">
      <w:pPr>
        <w:spacing w:line="580" w:lineRule="exact"/>
        <w:ind w:firstLine="640"/>
        <w:jc w:val="both"/>
      </w:pPr>
      <w:r>
        <w:rPr>
          <w:rFonts w:ascii="仿宋_GB2312" w:hAnsi="仿宋_GB2312" w:eastAsia="仿宋_GB2312"/>
          <w:sz w:val="32"/>
        </w:rPr>
        <w:t>13.负责联系、培养无党派代表人士，支持、帮助无党派人士加强自身建设、发挥作用。</w:t>
      </w:r>
    </w:p>
    <w:p w14:paraId="4368573B">
      <w:pPr>
        <w:spacing w:line="580" w:lineRule="exact"/>
        <w:ind w:firstLine="640"/>
        <w:jc w:val="both"/>
      </w:pPr>
      <w:r>
        <w:rPr>
          <w:rFonts w:ascii="仿宋_GB2312" w:hAnsi="仿宋_GB2312" w:eastAsia="仿宋_GB2312"/>
          <w:sz w:val="32"/>
        </w:rPr>
        <w:t>14.推动落实鼓励支持引导非公有制经济发展的方针政策，调查研究非公有制经济人士情况并提出政策建议，了解和反应非公有制经济人士的意见，团结、服务、引导、教育非公有制</w:t>
      </w:r>
      <w:r>
        <w:rPr>
          <w:rFonts w:hint="eastAsia" w:ascii="仿宋_GB2312" w:hAnsi="仿宋_GB2312" w:eastAsia="仿宋_GB2312"/>
          <w:sz w:val="32"/>
          <w:lang w:eastAsia="zh-CN"/>
        </w:rPr>
        <w:t>经济</w:t>
      </w:r>
      <w:r>
        <w:rPr>
          <w:rFonts w:ascii="仿宋_GB2312" w:hAnsi="仿宋_GB2312" w:eastAsia="仿宋_GB2312"/>
          <w:sz w:val="32"/>
        </w:rPr>
        <w:t>人士。促进非公有制经济健康发展和非公有制经济人士健康成长。</w:t>
      </w:r>
    </w:p>
    <w:p w14:paraId="31E8B0B8">
      <w:pPr>
        <w:spacing w:line="580" w:lineRule="exact"/>
        <w:ind w:firstLine="640"/>
        <w:jc w:val="both"/>
      </w:pPr>
      <w:r>
        <w:rPr>
          <w:rFonts w:ascii="仿宋_GB2312" w:hAnsi="仿宋_GB2312" w:eastAsia="仿宋_GB2312"/>
          <w:sz w:val="32"/>
        </w:rPr>
        <w:t>15.统一管理侨务工作，贯彻落实党的侨务工作方针政策，调查研究县内外侨情和侨务工作情况，管理侨务行政事务，统筹协调有关部门和社会团体涉侨工作，促进海外侨胞与且末县进行经济合作和科技交流。为归侨、侨眷行办企事业和海外侨胞来且末投资提供服务。</w:t>
      </w:r>
    </w:p>
    <w:p w14:paraId="34E949FF">
      <w:pPr>
        <w:spacing w:line="580" w:lineRule="exact"/>
        <w:ind w:firstLine="640"/>
        <w:jc w:val="both"/>
      </w:pPr>
      <w:r>
        <w:rPr>
          <w:rFonts w:ascii="仿宋_GB2312" w:hAnsi="仿宋_GB2312" w:eastAsia="仿宋_GB2312"/>
          <w:sz w:val="32"/>
        </w:rPr>
        <w:t>16.协助管理各乡镇党委统战干事。受且末县党委委托，统筹指导工商联工作。负责统一战线有关单位和团体的管理工作。负责统战系统干部和统一战线成员的教育培训工作。</w:t>
      </w:r>
    </w:p>
    <w:p w14:paraId="6F5FF851">
      <w:pPr>
        <w:spacing w:line="580" w:lineRule="exact"/>
        <w:ind w:firstLine="640"/>
        <w:jc w:val="both"/>
      </w:pPr>
      <w:r>
        <w:rPr>
          <w:rFonts w:ascii="仿宋_GB2312" w:hAnsi="仿宋_GB2312" w:eastAsia="仿宋_GB2312"/>
          <w:sz w:val="32"/>
        </w:rPr>
        <w:t>17.完成且末县党委交办的其他任务。</w:t>
      </w:r>
    </w:p>
    <w:p w14:paraId="20705A89">
      <w:pPr>
        <w:spacing w:line="640" w:lineRule="exact"/>
        <w:ind w:firstLine="640"/>
        <w:jc w:val="both"/>
        <w:outlineLvl w:val="2"/>
      </w:pPr>
      <w:r>
        <w:rPr>
          <w:rFonts w:ascii="黑体" w:hAnsi="黑体" w:eastAsia="黑体"/>
          <w:sz w:val="32"/>
        </w:rPr>
        <w:t>二、机构设置及人员情况</w:t>
      </w:r>
    </w:p>
    <w:p w14:paraId="7E57FF9E">
      <w:pPr>
        <w:spacing w:line="580" w:lineRule="exact"/>
        <w:ind w:firstLine="640"/>
        <w:jc w:val="both"/>
      </w:pPr>
      <w:r>
        <w:rPr>
          <w:rFonts w:ascii="仿宋_GB2312" w:hAnsi="仿宋_GB2312" w:eastAsia="仿宋_GB2312"/>
          <w:sz w:val="32"/>
        </w:rPr>
        <w:t>中共且末县委员会统一战线工作部本级2024年度，实有人数21人，其中：在职人员10人，增加2人；离休人员0人，增加0人；退休人员11人,减少1人。</w:t>
      </w:r>
    </w:p>
    <w:p w14:paraId="1D63B089">
      <w:pPr>
        <w:spacing w:line="580" w:lineRule="exact"/>
        <w:ind w:firstLine="640"/>
        <w:jc w:val="both"/>
      </w:pPr>
      <w:r>
        <w:rPr>
          <w:rFonts w:ascii="仿宋_GB2312" w:hAnsi="仿宋_GB2312" w:eastAsia="仿宋_GB2312"/>
          <w:sz w:val="32"/>
        </w:rPr>
        <w:t>中共且末县委员会统一战线工作部本级无下属预算单位，下设9个科室，分别是：统战部</w:t>
      </w:r>
      <w:r>
        <w:rPr>
          <w:rFonts w:hint="eastAsia" w:ascii="仿宋_GB2312" w:hAnsi="仿宋_GB2312" w:eastAsia="仿宋_GB2312"/>
          <w:sz w:val="32"/>
          <w:lang w:eastAsia="zh-CN"/>
        </w:rPr>
        <w:t>ZJ</w:t>
      </w:r>
      <w:r>
        <w:rPr>
          <w:rFonts w:ascii="仿宋_GB2312" w:hAnsi="仿宋_GB2312" w:eastAsia="仿宋_GB2312"/>
          <w:sz w:val="32"/>
        </w:rPr>
        <w:t>工作办公室、管委会办公室、民亲民创办、去极端化办公室、中国化方向办公室、执法大队、工商联办公室、侨联办公室、财务室。</w:t>
      </w:r>
    </w:p>
    <w:p w14:paraId="2E402FB3">
      <w:r>
        <w:br w:type="page"/>
      </w:r>
    </w:p>
    <w:p w14:paraId="70F3E38F">
      <w:pPr>
        <w:spacing w:line="240" w:lineRule="auto"/>
        <w:jc w:val="center"/>
        <w:outlineLvl w:val="1"/>
      </w:pPr>
      <w:r>
        <w:rPr>
          <w:rFonts w:ascii="黑体" w:hAnsi="黑体" w:eastAsia="黑体"/>
          <w:sz w:val="32"/>
        </w:rPr>
        <w:t>第二部分 部门决算情况说明</w:t>
      </w:r>
    </w:p>
    <w:p w14:paraId="33A1B77F">
      <w:pPr>
        <w:spacing w:line="640" w:lineRule="exact"/>
        <w:ind w:firstLine="640"/>
        <w:jc w:val="both"/>
        <w:outlineLvl w:val="2"/>
      </w:pPr>
      <w:r>
        <w:rPr>
          <w:rFonts w:ascii="黑体" w:hAnsi="黑体" w:eastAsia="黑体"/>
          <w:sz w:val="32"/>
        </w:rPr>
        <w:t>一、收入支出决算总体情况说明</w:t>
      </w:r>
    </w:p>
    <w:p w14:paraId="24AFF7AF">
      <w:pPr>
        <w:spacing w:line="580" w:lineRule="exact"/>
        <w:ind w:firstLine="640"/>
        <w:jc w:val="both"/>
      </w:pPr>
      <w:r>
        <w:rPr>
          <w:rFonts w:ascii="仿宋_GB2312" w:hAnsi="仿宋_GB2312" w:eastAsia="仿宋_GB2312"/>
          <w:b/>
          <w:sz w:val="32"/>
        </w:rPr>
        <w:t>2024年度收入总计539.78万元，</w:t>
      </w:r>
      <w:r>
        <w:rPr>
          <w:rFonts w:ascii="仿宋_GB2312" w:hAnsi="仿宋_GB2312" w:eastAsia="仿宋_GB2312"/>
          <w:b w:val="0"/>
          <w:sz w:val="32"/>
        </w:rPr>
        <w:t>其中：本年收入合计538.36万元，使用非财政拨款结余（含专用结余）0.00万元，年初结转和结余1.42万元。</w:t>
      </w:r>
    </w:p>
    <w:p w14:paraId="76009A31">
      <w:pPr>
        <w:spacing w:line="580" w:lineRule="exact"/>
        <w:ind w:firstLine="640"/>
        <w:jc w:val="both"/>
      </w:pPr>
      <w:r>
        <w:rPr>
          <w:rFonts w:ascii="仿宋_GB2312" w:hAnsi="仿宋_GB2312" w:eastAsia="仿宋_GB2312"/>
          <w:b/>
          <w:sz w:val="32"/>
        </w:rPr>
        <w:t>2024年度支出总计539.78万元，</w:t>
      </w:r>
      <w:r>
        <w:rPr>
          <w:rFonts w:ascii="仿宋_GB2312" w:hAnsi="仿宋_GB2312" w:eastAsia="仿宋_GB2312"/>
          <w:b w:val="0"/>
          <w:sz w:val="32"/>
        </w:rPr>
        <w:t>其中：本年支出合计539.78万元，结余分配0.00万元，年末结转和结余0.00万元。</w:t>
      </w:r>
    </w:p>
    <w:p w14:paraId="03D1B983">
      <w:pPr>
        <w:spacing w:line="580" w:lineRule="exact"/>
        <w:ind w:firstLine="640"/>
        <w:jc w:val="both"/>
      </w:pPr>
      <w:r>
        <w:rPr>
          <w:rFonts w:ascii="仿宋_GB2312" w:hAnsi="仿宋_GB2312" w:eastAsia="仿宋_GB2312"/>
          <w:b w:val="0"/>
          <w:sz w:val="32"/>
        </w:rPr>
        <w:t>收入支出总体与上年相比，减少200.19万元，下降27.05%，主要原因是：2024年度民族贸易和民族特需商品生产贷款贴息引导支持资金减少</w:t>
      </w:r>
      <w:r>
        <w:rPr>
          <w:rFonts w:hint="eastAsia" w:ascii="仿宋_GB2312" w:hAnsi="仿宋_GB2312" w:eastAsia="仿宋_GB2312"/>
          <w:b w:val="0"/>
          <w:sz w:val="32"/>
          <w:lang w:eastAsia="zh-CN"/>
        </w:rPr>
        <w:t>，</w:t>
      </w:r>
      <w:r>
        <w:rPr>
          <w:rFonts w:ascii="仿宋_GB2312" w:hAnsi="仿宋_GB2312" w:eastAsia="仿宋_GB2312"/>
          <w:b w:val="0"/>
          <w:sz w:val="32"/>
        </w:rPr>
        <w:t>减少活动场所修缮资金。</w:t>
      </w:r>
    </w:p>
    <w:p w14:paraId="6DAC730D">
      <w:pPr>
        <w:spacing w:line="640" w:lineRule="exact"/>
        <w:ind w:firstLine="640"/>
        <w:jc w:val="both"/>
        <w:outlineLvl w:val="2"/>
      </w:pPr>
      <w:r>
        <w:rPr>
          <w:rFonts w:ascii="黑体" w:hAnsi="黑体" w:eastAsia="黑体"/>
          <w:sz w:val="32"/>
        </w:rPr>
        <w:t>二、收入决算情况说明</w:t>
      </w:r>
    </w:p>
    <w:p w14:paraId="71F46901">
      <w:pPr>
        <w:spacing w:line="580" w:lineRule="exact"/>
        <w:ind w:firstLine="640"/>
        <w:jc w:val="both"/>
      </w:pPr>
      <w:r>
        <w:rPr>
          <w:rFonts w:ascii="仿宋_GB2312" w:hAnsi="仿宋_GB2312" w:eastAsia="仿宋_GB2312"/>
          <w:b/>
          <w:sz w:val="32"/>
        </w:rPr>
        <w:t>本年收入538.36万元，</w:t>
      </w:r>
      <w:r>
        <w:rPr>
          <w:rFonts w:ascii="仿宋_GB2312" w:hAnsi="仿宋_GB2312" w:eastAsia="仿宋_GB2312"/>
          <w:b w:val="0"/>
          <w:sz w:val="32"/>
        </w:rPr>
        <w:t>其中：财政拨款收入537.98万元，占99.93%；上级补助收入0.00万元，占0.00%；事业收入0.00万元，占0.00%；经营收入0.00万元，占0.00%；附属单位上缴收入0.00万元，占0.00%；其他收入0.38万元，占0.07%。</w:t>
      </w:r>
    </w:p>
    <w:p w14:paraId="1DDD8854">
      <w:pPr>
        <w:spacing w:line="640" w:lineRule="exact"/>
        <w:ind w:firstLine="640"/>
        <w:jc w:val="both"/>
        <w:outlineLvl w:val="2"/>
      </w:pPr>
      <w:r>
        <w:rPr>
          <w:rFonts w:ascii="黑体" w:hAnsi="黑体" w:eastAsia="黑体"/>
          <w:sz w:val="32"/>
        </w:rPr>
        <w:t>三、支出决算情况说明</w:t>
      </w:r>
    </w:p>
    <w:p w14:paraId="73A9F620">
      <w:pPr>
        <w:spacing w:line="580" w:lineRule="exact"/>
        <w:ind w:firstLine="640"/>
        <w:jc w:val="both"/>
      </w:pPr>
      <w:r>
        <w:rPr>
          <w:rFonts w:ascii="仿宋_GB2312" w:hAnsi="仿宋_GB2312" w:eastAsia="仿宋_GB2312"/>
          <w:b/>
          <w:sz w:val="32"/>
        </w:rPr>
        <w:t>本年支出539.78万元，</w:t>
      </w:r>
      <w:r>
        <w:rPr>
          <w:rFonts w:ascii="仿宋_GB2312" w:hAnsi="仿宋_GB2312" w:eastAsia="仿宋_GB2312"/>
          <w:b w:val="0"/>
          <w:sz w:val="32"/>
        </w:rPr>
        <w:t>其中：基本支出218.23万元，占40.43%；项目支出321.55万元，占59.57%；上缴上级支出0.00万元，占0.00%；经营支出0.00万元，占0.00%；对附属单位补助支出0.00万元，占0.00%。</w:t>
      </w:r>
    </w:p>
    <w:p w14:paraId="0631C170">
      <w:pPr>
        <w:spacing w:line="640" w:lineRule="exact"/>
        <w:ind w:firstLine="640"/>
        <w:jc w:val="both"/>
        <w:outlineLvl w:val="2"/>
      </w:pPr>
      <w:r>
        <w:rPr>
          <w:rFonts w:ascii="黑体" w:hAnsi="黑体" w:eastAsia="黑体"/>
          <w:sz w:val="32"/>
        </w:rPr>
        <w:t>四、财政拨款收入支出决算总体情况说明</w:t>
      </w:r>
    </w:p>
    <w:p w14:paraId="7EB3D566">
      <w:pPr>
        <w:spacing w:line="580" w:lineRule="exact"/>
        <w:ind w:firstLine="640"/>
        <w:jc w:val="both"/>
      </w:pPr>
      <w:r>
        <w:rPr>
          <w:rFonts w:ascii="仿宋_GB2312" w:hAnsi="仿宋_GB2312" w:eastAsia="仿宋_GB2312"/>
          <w:b/>
          <w:sz w:val="32"/>
        </w:rPr>
        <w:t>2024年度财政拨款收入总计537.98万元，</w:t>
      </w:r>
      <w:r>
        <w:rPr>
          <w:rFonts w:ascii="仿宋_GB2312" w:hAnsi="仿宋_GB2312" w:eastAsia="仿宋_GB2312"/>
          <w:b w:val="0"/>
          <w:sz w:val="32"/>
        </w:rPr>
        <w:t>其中：年初财政拨款结转和结余0.00万元，本年财政拨款收入537.98万元。</w:t>
      </w:r>
      <w:r>
        <w:rPr>
          <w:rFonts w:ascii="仿宋_GB2312" w:hAnsi="仿宋_GB2312" w:eastAsia="仿宋_GB2312"/>
          <w:b/>
          <w:sz w:val="32"/>
        </w:rPr>
        <w:t>财政拨款支出总计537.98万元，</w:t>
      </w:r>
      <w:r>
        <w:rPr>
          <w:rFonts w:ascii="仿宋_GB2312" w:hAnsi="仿宋_GB2312" w:eastAsia="仿宋_GB2312"/>
          <w:b w:val="0"/>
          <w:sz w:val="32"/>
        </w:rPr>
        <w:t>其中：年末财政拨款结转和结余0.00万元，本年财政拨款支出537.98万元。</w:t>
      </w:r>
    </w:p>
    <w:p w14:paraId="20B865CC">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减少200.47万元，下降27.15%，主要原因是：2024年度民族贸易和民族特需商品生产贷款贴息引导支持资金减少</w:t>
      </w:r>
      <w:r>
        <w:rPr>
          <w:rFonts w:hint="eastAsia" w:ascii="仿宋_GB2312" w:hAnsi="仿宋_GB2312" w:eastAsia="仿宋_GB2312"/>
          <w:b w:val="0"/>
          <w:sz w:val="32"/>
          <w:lang w:eastAsia="zh-CN"/>
        </w:rPr>
        <w:t>，</w:t>
      </w:r>
      <w:r>
        <w:rPr>
          <w:rFonts w:ascii="仿宋_GB2312" w:hAnsi="仿宋_GB2312" w:eastAsia="仿宋_GB2312"/>
          <w:b w:val="0"/>
          <w:sz w:val="32"/>
        </w:rPr>
        <w:t>减少活动场所修缮资金。</w:t>
      </w:r>
      <w:r>
        <w:rPr>
          <w:rFonts w:ascii="仿宋_GB2312" w:hAnsi="仿宋_GB2312" w:eastAsia="仿宋_GB2312"/>
          <w:b/>
          <w:sz w:val="32"/>
        </w:rPr>
        <w:t>与年初预算相比，</w:t>
      </w:r>
      <w:r>
        <w:rPr>
          <w:rFonts w:ascii="仿宋_GB2312" w:hAnsi="仿宋_GB2312" w:eastAsia="仿宋_GB2312"/>
          <w:b w:val="0"/>
          <w:sz w:val="32"/>
        </w:rPr>
        <w:t>年初预算数562.39万元，决算数537.98万元，预决算差异率-4.34%，主要原因是：严格落实中央八项规定精神，厉行节约，减少不必要的开支。</w:t>
      </w:r>
    </w:p>
    <w:p w14:paraId="3DA011F9">
      <w:pPr>
        <w:spacing w:line="640" w:lineRule="exact"/>
        <w:ind w:firstLine="640"/>
        <w:jc w:val="both"/>
        <w:outlineLvl w:val="2"/>
      </w:pPr>
      <w:r>
        <w:rPr>
          <w:rFonts w:ascii="黑体" w:hAnsi="黑体" w:eastAsia="黑体"/>
          <w:sz w:val="32"/>
        </w:rPr>
        <w:t>五、一般公共预算财政拨款支出决算情况说明</w:t>
      </w:r>
    </w:p>
    <w:p w14:paraId="14534E6A">
      <w:pPr>
        <w:spacing w:line="640" w:lineRule="exact"/>
        <w:ind w:firstLine="640"/>
        <w:jc w:val="both"/>
        <w:outlineLvl w:val="3"/>
      </w:pPr>
      <w:r>
        <w:rPr>
          <w:rFonts w:ascii="楷体_GB2312" w:hAnsi="楷体_GB2312" w:eastAsia="楷体_GB2312"/>
          <w:b/>
          <w:sz w:val="32"/>
        </w:rPr>
        <w:t>（一）一般公共预算财政拨款支出决算总体情况</w:t>
      </w:r>
    </w:p>
    <w:p w14:paraId="385A987F">
      <w:pPr>
        <w:spacing w:line="580" w:lineRule="exact"/>
        <w:ind w:firstLine="640"/>
        <w:jc w:val="both"/>
      </w:pPr>
      <w:r>
        <w:rPr>
          <w:rFonts w:ascii="仿宋_GB2312" w:hAnsi="仿宋_GB2312" w:eastAsia="仿宋_GB2312"/>
          <w:b/>
          <w:sz w:val="32"/>
        </w:rPr>
        <w:t>2024年度一般公共预算财政拨款支出537.98万元，</w:t>
      </w:r>
      <w:r>
        <w:rPr>
          <w:rFonts w:ascii="仿宋_GB2312" w:hAnsi="仿宋_GB2312" w:eastAsia="仿宋_GB2312"/>
          <w:b w:val="0"/>
          <w:sz w:val="32"/>
        </w:rPr>
        <w:t>占本年支出合计的99.67%。</w:t>
      </w:r>
      <w:r>
        <w:rPr>
          <w:rFonts w:ascii="仿宋_GB2312" w:hAnsi="仿宋_GB2312" w:eastAsia="仿宋_GB2312"/>
          <w:b/>
          <w:sz w:val="32"/>
        </w:rPr>
        <w:t>与上年相比，</w:t>
      </w:r>
      <w:r>
        <w:rPr>
          <w:rFonts w:ascii="仿宋_GB2312" w:hAnsi="仿宋_GB2312" w:eastAsia="仿宋_GB2312"/>
          <w:b w:val="0"/>
          <w:sz w:val="32"/>
        </w:rPr>
        <w:t>减少200.47万元，下降27.15%，主要原因是：2024年度民族贸易和民族特需商品生产贷款贴息引导支持资金减少</w:t>
      </w:r>
      <w:r>
        <w:rPr>
          <w:rFonts w:hint="eastAsia" w:ascii="仿宋_GB2312" w:hAnsi="仿宋_GB2312" w:eastAsia="仿宋_GB2312"/>
          <w:b w:val="0"/>
          <w:sz w:val="32"/>
          <w:lang w:eastAsia="zh-CN"/>
        </w:rPr>
        <w:t>，</w:t>
      </w:r>
      <w:r>
        <w:rPr>
          <w:rFonts w:ascii="仿宋_GB2312" w:hAnsi="仿宋_GB2312" w:eastAsia="仿宋_GB2312"/>
          <w:b w:val="0"/>
          <w:sz w:val="32"/>
        </w:rPr>
        <w:t>减少活动场所修缮资金。</w:t>
      </w:r>
      <w:r>
        <w:rPr>
          <w:rFonts w:ascii="仿宋_GB2312" w:hAnsi="仿宋_GB2312" w:eastAsia="仿宋_GB2312"/>
          <w:b/>
          <w:sz w:val="32"/>
        </w:rPr>
        <w:t>与年初预算相比,</w:t>
      </w:r>
      <w:r>
        <w:rPr>
          <w:rFonts w:ascii="仿宋_GB2312" w:hAnsi="仿宋_GB2312" w:eastAsia="仿宋_GB2312"/>
          <w:b w:val="0"/>
          <w:sz w:val="32"/>
        </w:rPr>
        <w:t>年初预算数562.39万元，决算数537.98万元，预决算差异率-4.34%，主要原因是：严格落实中央八项规定精神，厉行节约，减少不必要的开支。</w:t>
      </w:r>
    </w:p>
    <w:p w14:paraId="3F442C3E">
      <w:pPr>
        <w:spacing w:line="640" w:lineRule="exact"/>
        <w:ind w:firstLine="640"/>
        <w:jc w:val="both"/>
        <w:outlineLvl w:val="3"/>
      </w:pPr>
      <w:r>
        <w:rPr>
          <w:rFonts w:ascii="楷体_GB2312" w:hAnsi="楷体_GB2312" w:eastAsia="楷体_GB2312"/>
          <w:b/>
          <w:sz w:val="32"/>
        </w:rPr>
        <w:t>（二）一般公共预算财政拨款支出决算结构情况</w:t>
      </w:r>
    </w:p>
    <w:p w14:paraId="50C7C7A5">
      <w:pPr>
        <w:spacing w:line="580" w:lineRule="exact"/>
        <w:ind w:firstLine="640"/>
        <w:jc w:val="both"/>
      </w:pPr>
      <w:r>
        <w:rPr>
          <w:rFonts w:ascii="仿宋_GB2312" w:hAnsi="仿宋_GB2312" w:eastAsia="仿宋_GB2312"/>
          <w:b w:val="0"/>
          <w:sz w:val="32"/>
        </w:rPr>
        <w:t>1.一般公共服务支出(类)191.76万元,占35.64%。</w:t>
      </w:r>
    </w:p>
    <w:p w14:paraId="1ECF8BEB">
      <w:pPr>
        <w:spacing w:line="580" w:lineRule="exact"/>
        <w:ind w:firstLine="640"/>
        <w:jc w:val="both"/>
      </w:pPr>
      <w:r>
        <w:rPr>
          <w:rFonts w:ascii="仿宋_GB2312" w:hAnsi="仿宋_GB2312" w:eastAsia="仿宋_GB2312"/>
          <w:b w:val="0"/>
          <w:sz w:val="32"/>
        </w:rPr>
        <w:t>2.社会保障和就业支出(类)27.14万元,占5.04%。</w:t>
      </w:r>
    </w:p>
    <w:p w14:paraId="1C603B44">
      <w:pPr>
        <w:spacing w:line="580" w:lineRule="exact"/>
        <w:ind w:firstLine="640"/>
        <w:jc w:val="both"/>
      </w:pPr>
      <w:r>
        <w:rPr>
          <w:rFonts w:ascii="仿宋_GB2312" w:hAnsi="仿宋_GB2312" w:eastAsia="仿宋_GB2312"/>
          <w:b w:val="0"/>
          <w:sz w:val="32"/>
        </w:rPr>
        <w:t>3.卫生健康支出(类)10.81万元,占2.01%。</w:t>
      </w:r>
    </w:p>
    <w:p w14:paraId="7B4D1F52">
      <w:pPr>
        <w:spacing w:line="580" w:lineRule="exact"/>
        <w:ind w:firstLine="640"/>
        <w:jc w:val="both"/>
      </w:pPr>
      <w:r>
        <w:rPr>
          <w:rFonts w:ascii="仿宋_GB2312" w:hAnsi="仿宋_GB2312" w:eastAsia="仿宋_GB2312"/>
          <w:b w:val="0"/>
          <w:sz w:val="32"/>
        </w:rPr>
        <w:t>4.农林水支出(类)5.50万元,占1.02%。</w:t>
      </w:r>
    </w:p>
    <w:p w14:paraId="52DE0D35">
      <w:pPr>
        <w:spacing w:line="580" w:lineRule="exact"/>
        <w:ind w:firstLine="640"/>
        <w:jc w:val="both"/>
      </w:pPr>
      <w:r>
        <w:rPr>
          <w:rFonts w:ascii="仿宋_GB2312" w:hAnsi="仿宋_GB2312" w:eastAsia="仿宋_GB2312"/>
          <w:b w:val="0"/>
          <w:sz w:val="32"/>
        </w:rPr>
        <w:t>5.商业服务业等支出(类)287.56万元,占53.45%。</w:t>
      </w:r>
    </w:p>
    <w:p w14:paraId="1D19518F">
      <w:pPr>
        <w:spacing w:line="580" w:lineRule="exact"/>
        <w:ind w:firstLine="640"/>
        <w:jc w:val="both"/>
      </w:pPr>
      <w:r>
        <w:rPr>
          <w:rFonts w:ascii="仿宋_GB2312" w:hAnsi="仿宋_GB2312" w:eastAsia="仿宋_GB2312"/>
          <w:b w:val="0"/>
          <w:sz w:val="32"/>
        </w:rPr>
        <w:t>6.住房保障支出(类)15.21万元,占2.83%。</w:t>
      </w:r>
    </w:p>
    <w:p w14:paraId="04F6EC4F">
      <w:pPr>
        <w:spacing w:line="640" w:lineRule="exact"/>
        <w:ind w:firstLine="640"/>
        <w:jc w:val="both"/>
        <w:outlineLvl w:val="3"/>
      </w:pPr>
      <w:r>
        <w:rPr>
          <w:rFonts w:ascii="楷体_GB2312" w:hAnsi="楷体_GB2312" w:eastAsia="楷体_GB2312"/>
          <w:b/>
          <w:sz w:val="32"/>
        </w:rPr>
        <w:t>（三）一般公共预算财政拨款支出决算具体情况</w:t>
      </w:r>
    </w:p>
    <w:p w14:paraId="78AB6638">
      <w:pPr>
        <w:spacing w:line="580" w:lineRule="exact"/>
        <w:ind w:firstLine="640"/>
        <w:jc w:val="both"/>
      </w:pPr>
      <w:r>
        <w:rPr>
          <w:rFonts w:ascii="仿宋_GB2312" w:hAnsi="仿宋_GB2312" w:eastAsia="仿宋_GB2312"/>
          <w:b w:val="0"/>
          <w:sz w:val="32"/>
        </w:rPr>
        <w:t>1.一般公共服务支出(类)统战事务(款)行政运行(项):支出决算数为163.27万元，比上年决算增加5.83万元，增长3.70%,主要原因是：本年在职人员增加，人员工资调增，导致相关人员经费较上年有所增加。</w:t>
      </w:r>
    </w:p>
    <w:p w14:paraId="437F5845">
      <w:pPr>
        <w:spacing w:line="580" w:lineRule="exact"/>
        <w:ind w:firstLine="640"/>
        <w:jc w:val="both"/>
      </w:pPr>
      <w:r>
        <w:rPr>
          <w:rFonts w:ascii="仿宋_GB2312" w:hAnsi="仿宋_GB2312" w:eastAsia="仿宋_GB2312"/>
          <w:b w:val="0"/>
          <w:sz w:val="32"/>
        </w:rPr>
        <w:t>2.一般公共服务支出(类)统战事务(款)宗教事务(项):支出决算数为0.00万元，比上年决算减少52.47万元，下降100.00%,主要原因是：</w:t>
      </w:r>
      <w:r>
        <w:rPr>
          <w:rFonts w:hint="eastAsia" w:ascii="仿宋_GB2312" w:hAnsi="仿宋_GB2312" w:eastAsia="仿宋_GB2312"/>
          <w:b w:val="0"/>
          <w:sz w:val="32"/>
          <w:lang w:val="en-US" w:eastAsia="zh-CN"/>
        </w:rPr>
        <w:t>本年</w:t>
      </w:r>
      <w:r>
        <w:rPr>
          <w:rFonts w:ascii="仿宋_GB2312" w:hAnsi="仿宋_GB2312" w:eastAsia="仿宋_GB2312"/>
          <w:b w:val="0"/>
          <w:sz w:val="32"/>
        </w:rPr>
        <w:t>减少活动场所修缮资金。</w:t>
      </w:r>
    </w:p>
    <w:p w14:paraId="2AF227D3">
      <w:pPr>
        <w:spacing w:line="580" w:lineRule="exact"/>
        <w:ind w:firstLine="640"/>
        <w:jc w:val="both"/>
      </w:pPr>
      <w:r>
        <w:rPr>
          <w:rFonts w:ascii="仿宋_GB2312" w:hAnsi="仿宋_GB2312" w:eastAsia="仿宋_GB2312"/>
          <w:b w:val="0"/>
          <w:sz w:val="32"/>
        </w:rPr>
        <w:t>3.一般公共服务支出(类)统战事务(款)其他统战事务支出(项):支出决算数为28.49万元，比上年决算增加14.02万元，增长96.89%,主要原因是：增加</w:t>
      </w:r>
      <w:r>
        <w:rPr>
          <w:rFonts w:hint="eastAsia" w:ascii="仿宋_GB2312" w:hAnsi="仿宋_GB2312" w:eastAsia="仿宋_GB2312"/>
          <w:b w:val="0"/>
          <w:sz w:val="32"/>
          <w:lang w:eastAsia="zh-CN"/>
        </w:rPr>
        <w:t>ZJ</w:t>
      </w:r>
      <w:r>
        <w:rPr>
          <w:rFonts w:ascii="仿宋_GB2312" w:hAnsi="仿宋_GB2312" w:eastAsia="仿宋_GB2312"/>
          <w:b w:val="0"/>
          <w:sz w:val="32"/>
        </w:rPr>
        <w:t>教职人员补贴资金。</w:t>
      </w:r>
    </w:p>
    <w:p w14:paraId="72F6C7B7">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4.社会保障和就业支出(类)行政事业单位养老支出(款)行政单位离退休(项):支出决算数为8.45万元，比上年决算增加2.10万元，增长33.07%,主要原因是：增加退休人员绩效奖。</w:t>
      </w:r>
    </w:p>
    <w:p w14:paraId="59BA1C40">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18.70万元，比上年决算增加5.24万元，增长38.93%,主要原因是：本年在职人员增加，人员工资调增，养老缴费基数上涨，相应支出增加。</w:t>
      </w:r>
    </w:p>
    <w:p w14:paraId="21B9A865">
      <w:pPr>
        <w:spacing w:line="580" w:lineRule="exact"/>
        <w:ind w:firstLine="640"/>
        <w:jc w:val="both"/>
      </w:pPr>
      <w:r>
        <w:rPr>
          <w:rFonts w:ascii="仿宋_GB2312" w:hAnsi="仿宋_GB2312" w:eastAsia="仿宋_GB2312"/>
          <w:b w:val="0"/>
          <w:sz w:val="32"/>
        </w:rPr>
        <w:t>6.卫生健康支出(类)行政事业单位医疗(款)行政单位医疗(项):支出决算数为8.43万元，比上年决算增加1.90万元，增长29.10%,主要原因是：本年在职人员增加，工资基数调增，医疗缴费基数上涨，相应支出增加。</w:t>
      </w:r>
    </w:p>
    <w:p w14:paraId="15EB7FC8">
      <w:pPr>
        <w:spacing w:line="580" w:lineRule="exact"/>
        <w:ind w:firstLine="640"/>
        <w:jc w:val="both"/>
      </w:pPr>
      <w:r>
        <w:rPr>
          <w:rFonts w:ascii="仿宋_GB2312" w:hAnsi="仿宋_GB2312" w:eastAsia="仿宋_GB2312"/>
          <w:b w:val="0"/>
          <w:sz w:val="32"/>
        </w:rPr>
        <w:t>7.卫生健康支出(类)行政事业单位医疗(款)公务员医疗补助(项):支出决算数为2.38万元，比上年决算增加0.75万元，增长46.01%,主要原因是：本年在职人员增加，工资基数调增，公务员医疗补助上涨，相应支出增加。</w:t>
      </w:r>
    </w:p>
    <w:p w14:paraId="65FBF8CD">
      <w:pPr>
        <w:spacing w:line="580" w:lineRule="exact"/>
        <w:ind w:firstLine="640"/>
        <w:jc w:val="both"/>
      </w:pPr>
      <w:r>
        <w:rPr>
          <w:rFonts w:ascii="仿宋_GB2312" w:hAnsi="仿宋_GB2312" w:eastAsia="仿宋_GB2312"/>
          <w:b w:val="0"/>
          <w:sz w:val="32"/>
        </w:rPr>
        <w:t>8.农林水支出(类)巩固脱贫攻坚成果衔接乡村振兴(款)生产发展(项):支出决算数为5.50万元，比上年决算减少4.50万元，下降45.00%,主要原因是：本年少数民族发展资金较上年减少。</w:t>
      </w:r>
    </w:p>
    <w:p w14:paraId="249AC611">
      <w:pPr>
        <w:spacing w:line="580" w:lineRule="exact"/>
        <w:ind w:firstLine="640"/>
        <w:jc w:val="both"/>
      </w:pPr>
      <w:r>
        <w:rPr>
          <w:rFonts w:ascii="仿宋_GB2312" w:hAnsi="仿宋_GB2312" w:eastAsia="仿宋_GB2312"/>
          <w:b w:val="0"/>
          <w:sz w:val="32"/>
        </w:rPr>
        <w:t>9.商业服务业等支出(类)商业流通事务(款)民贸民品贷款贴息(项):支出决算数为287.56万元，比上年决算减少175.38万元，下降37.88%,主要原因是：2024年度民族贸易和民族特需商品生产贷款贴息引导支持资金减少。</w:t>
      </w:r>
    </w:p>
    <w:p w14:paraId="2A11716D">
      <w:pPr>
        <w:spacing w:line="580" w:lineRule="exact"/>
        <w:ind w:firstLine="640"/>
        <w:jc w:val="both"/>
      </w:pPr>
      <w:r>
        <w:rPr>
          <w:rFonts w:ascii="仿宋_GB2312" w:hAnsi="仿宋_GB2312" w:eastAsia="仿宋_GB2312"/>
          <w:b w:val="0"/>
          <w:sz w:val="32"/>
        </w:rPr>
        <w:t>10.住房保障支出(类)住房改革支出(款)住房公积金(项):支出决算数为15.21万元，比上年决算增加4.68万元，增长44.44%,主要原因是：本年在职人员</w:t>
      </w:r>
      <w:r>
        <w:rPr>
          <w:rFonts w:hint="eastAsia" w:ascii="仿宋_GB2312" w:hAnsi="仿宋_GB2312" w:eastAsia="仿宋_GB2312"/>
          <w:b w:val="0"/>
          <w:sz w:val="32"/>
          <w:lang w:val="en-US" w:eastAsia="zh-CN"/>
        </w:rPr>
        <w:t>增加，人员</w:t>
      </w:r>
      <w:r>
        <w:rPr>
          <w:rFonts w:ascii="仿宋_GB2312" w:hAnsi="仿宋_GB2312" w:eastAsia="仿宋_GB2312"/>
          <w:b w:val="0"/>
          <w:sz w:val="32"/>
        </w:rPr>
        <w:t>工资调增，公积金缴费基数上涨，住房公积金缴费增加。</w:t>
      </w:r>
    </w:p>
    <w:p w14:paraId="2A4F5BE5">
      <w:pPr>
        <w:spacing w:line="580" w:lineRule="exact"/>
        <w:ind w:firstLine="640"/>
        <w:jc w:val="both"/>
      </w:pPr>
      <w:r>
        <w:rPr>
          <w:rFonts w:ascii="仿宋_GB2312" w:hAnsi="仿宋_GB2312" w:eastAsia="仿宋_GB2312"/>
          <w:b w:val="0"/>
          <w:sz w:val="32"/>
        </w:rPr>
        <w:t>11.其他支出(类)其他支出(款)其他支出(项):支出决算数为0.00万元，比上年决算减少2.64万元，下降100.00%,主要原因是：</w:t>
      </w:r>
      <w:r>
        <w:rPr>
          <w:rFonts w:hint="eastAsia" w:ascii="仿宋_GB2312" w:hAnsi="仿宋_GB2312" w:eastAsia="仿宋_GB2312"/>
          <w:b w:val="0"/>
          <w:sz w:val="32"/>
          <w:lang w:val="en-US" w:eastAsia="zh-CN"/>
        </w:rPr>
        <w:t>2024</w:t>
      </w:r>
      <w:r>
        <w:rPr>
          <w:rFonts w:ascii="仿宋_GB2312" w:hAnsi="仿宋_GB2312" w:eastAsia="仿宋_GB2312"/>
          <w:b w:val="0"/>
          <w:sz w:val="32"/>
        </w:rPr>
        <w:t>年全县工作队优化，工作队经费划拨给乡镇列支。</w:t>
      </w:r>
    </w:p>
    <w:p w14:paraId="7637AB07">
      <w:pPr>
        <w:spacing w:line="640" w:lineRule="exact"/>
        <w:ind w:firstLine="640"/>
        <w:jc w:val="both"/>
        <w:outlineLvl w:val="2"/>
      </w:pPr>
      <w:r>
        <w:rPr>
          <w:rFonts w:ascii="黑体" w:hAnsi="黑体" w:eastAsia="黑体"/>
          <w:sz w:val="32"/>
        </w:rPr>
        <w:t>六、一般公共预算财政拨款基本支出决算情况说明</w:t>
      </w:r>
    </w:p>
    <w:p w14:paraId="4F472A70">
      <w:pPr>
        <w:spacing w:line="580" w:lineRule="exact"/>
        <w:ind w:firstLine="640"/>
        <w:jc w:val="both"/>
      </w:pPr>
      <w:r>
        <w:rPr>
          <w:rFonts w:ascii="仿宋_GB2312" w:hAnsi="仿宋_GB2312" w:eastAsia="仿宋_GB2312"/>
          <w:b w:val="0"/>
          <w:sz w:val="32"/>
        </w:rPr>
        <w:t>2024年度一般公共预算财政拨款基本支出216.44万元，其中：</w:t>
      </w:r>
      <w:r>
        <w:rPr>
          <w:rFonts w:ascii="仿宋_GB2312" w:hAnsi="仿宋_GB2312" w:eastAsia="仿宋_GB2312"/>
          <w:b/>
          <w:sz w:val="32"/>
        </w:rPr>
        <w:t>人员经费210.95万元，</w:t>
      </w:r>
      <w:r>
        <w:rPr>
          <w:rFonts w:ascii="仿宋_GB2312" w:hAnsi="仿宋_GB2312" w:eastAsia="仿宋_GB2312"/>
          <w:b w:val="0"/>
          <w:sz w:val="32"/>
        </w:rPr>
        <w:t>包括：基本工资、津贴补贴、奖金、机关事业单位基本养老保险缴费、职工基本医疗保险缴费、公务员医疗补助缴费、其他社会保障缴费、住房公积金、退休费、抚恤金、生活补助、奖励金。</w:t>
      </w:r>
    </w:p>
    <w:p w14:paraId="6E197DD8">
      <w:pPr>
        <w:spacing w:line="580" w:lineRule="exact"/>
        <w:ind w:firstLine="640"/>
        <w:jc w:val="both"/>
      </w:pPr>
      <w:r>
        <w:rPr>
          <w:rFonts w:ascii="仿宋_GB2312" w:hAnsi="仿宋_GB2312" w:eastAsia="仿宋_GB2312"/>
          <w:b/>
          <w:sz w:val="32"/>
        </w:rPr>
        <w:t>公用经费5.48万元，</w:t>
      </w:r>
      <w:r>
        <w:rPr>
          <w:rFonts w:ascii="仿宋_GB2312" w:hAnsi="仿宋_GB2312" w:eastAsia="仿宋_GB2312"/>
          <w:b w:val="0"/>
          <w:sz w:val="32"/>
        </w:rPr>
        <w:t>包括：办公费、差旅费、租赁费、公务用车运行维护费。</w:t>
      </w:r>
    </w:p>
    <w:p w14:paraId="12AD3CF5">
      <w:pPr>
        <w:spacing w:line="640" w:lineRule="exact"/>
        <w:ind w:firstLine="640"/>
        <w:jc w:val="both"/>
        <w:outlineLvl w:val="2"/>
      </w:pPr>
      <w:r>
        <w:rPr>
          <w:rFonts w:ascii="黑体" w:hAnsi="黑体" w:eastAsia="黑体"/>
          <w:sz w:val="32"/>
        </w:rPr>
        <w:t>七、政府性基金预算财政拨款收入支出决算情况说明</w:t>
      </w:r>
    </w:p>
    <w:p w14:paraId="78539235">
      <w:pPr>
        <w:spacing w:line="580" w:lineRule="exact"/>
        <w:ind w:firstLine="640"/>
        <w:jc w:val="both"/>
      </w:pPr>
      <w:r>
        <w:rPr>
          <w:rFonts w:ascii="仿宋_GB2312" w:hAnsi="仿宋_GB2312" w:eastAsia="仿宋_GB2312"/>
          <w:b w:val="0"/>
          <w:sz w:val="32"/>
        </w:rPr>
        <w:t>本部门本年度无政府性基金预算财政拨款收入、支出及结转和结余，政府性基金预算财政拨款收入支出决算表为空表。</w:t>
      </w:r>
    </w:p>
    <w:p w14:paraId="74AE7C1C">
      <w:pPr>
        <w:spacing w:line="640" w:lineRule="exact"/>
        <w:ind w:firstLine="640"/>
        <w:jc w:val="both"/>
        <w:outlineLvl w:val="2"/>
      </w:pPr>
      <w:r>
        <w:rPr>
          <w:rFonts w:ascii="黑体" w:hAnsi="黑体" w:eastAsia="黑体"/>
          <w:sz w:val="32"/>
        </w:rPr>
        <w:t>八、国有资本经营预算财政拨款收入支出决算情况说明</w:t>
      </w:r>
    </w:p>
    <w:p w14:paraId="5A1AD38C">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379A25C4">
      <w:pPr>
        <w:spacing w:line="640" w:lineRule="exact"/>
        <w:ind w:firstLine="640"/>
        <w:jc w:val="both"/>
        <w:outlineLvl w:val="2"/>
      </w:pPr>
      <w:r>
        <w:rPr>
          <w:rFonts w:ascii="黑体" w:hAnsi="黑体" w:eastAsia="黑体"/>
          <w:sz w:val="32"/>
        </w:rPr>
        <w:t>九、财政拨款“三公”经费支出决算情况说明</w:t>
      </w:r>
    </w:p>
    <w:p w14:paraId="7B15DE9D">
      <w:pPr>
        <w:spacing w:line="580" w:lineRule="exact"/>
        <w:ind w:firstLine="640"/>
        <w:jc w:val="both"/>
      </w:pPr>
      <w:r>
        <w:rPr>
          <w:rFonts w:ascii="仿宋_GB2312" w:hAnsi="仿宋_GB2312" w:eastAsia="仿宋_GB2312"/>
          <w:b/>
          <w:sz w:val="32"/>
        </w:rPr>
        <w:t>2024年度财政拨款“三公”经费支出2.43万元，</w:t>
      </w:r>
      <w:r>
        <w:rPr>
          <w:rFonts w:ascii="仿宋_GB2312" w:hAnsi="仿宋_GB2312" w:eastAsia="仿宋_GB2312"/>
          <w:b w:val="0"/>
          <w:sz w:val="32"/>
        </w:rPr>
        <w:t>比上年减少0.07万元，下降2.80%，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2.43万元，占100.00%，比上年减少0.07万元，下降2.80%，主要原因是：严格落实中央八项规定精神，厉行节约，减少公务用车运行维护费。公务接待费支出0.00万元，占0.00%，比上年增加0.00万元，增长0.00%，主要原因是：2023年与2024年均未安排公务接待费支出。</w:t>
      </w:r>
    </w:p>
    <w:p w14:paraId="6BACDD51">
      <w:pPr>
        <w:spacing w:line="580" w:lineRule="exact"/>
        <w:ind w:firstLine="640"/>
        <w:jc w:val="both"/>
      </w:pPr>
      <w:r>
        <w:rPr>
          <w:rFonts w:ascii="仿宋_GB2312" w:hAnsi="仿宋_GB2312" w:eastAsia="仿宋_GB2312"/>
          <w:b/>
          <w:sz w:val="32"/>
        </w:rPr>
        <w:t>具体情况如下：</w:t>
      </w:r>
    </w:p>
    <w:p w14:paraId="7B4E075A">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206F56AB">
      <w:pPr>
        <w:spacing w:line="580" w:lineRule="exact"/>
        <w:ind w:firstLine="640"/>
        <w:jc w:val="both"/>
      </w:pPr>
      <w:r>
        <w:rPr>
          <w:rFonts w:ascii="仿宋_GB2312" w:hAnsi="仿宋_GB2312" w:eastAsia="仿宋_GB2312"/>
          <w:b w:val="0"/>
          <w:sz w:val="32"/>
        </w:rPr>
        <w:t>公务用车购置及运行维护费2.43万元，其中：公务用车购置费0.00万元，公务用车运行维护费2.43万元。公务用车运行维护费开支内容包括车辆加油、车辆维修费。公务用车购置数0辆，公务用车保有量2辆。国有资产占用情况中固定资产车辆2辆，与公务用车保有量差异原因是：本部门固定资产车辆与公务用车保有量一致无差异。</w:t>
      </w:r>
    </w:p>
    <w:p w14:paraId="31D93DD6">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14:paraId="14CC342E">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2.43万元，决算数2.43万元，预决算差异率0.00%，主要原因是：严格按照预算执行，预决算无差异。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2.43万元，决算数2.43万元，预决算差异率0.00%，主要原因是：严格按照预算执行，预决算无差异。公务接待费全年预算数0.00万元，决算数0.00万元，预决算差异率0.00%，主要原因是：本部门无公务接待费。</w:t>
      </w:r>
    </w:p>
    <w:p w14:paraId="30213323">
      <w:pPr>
        <w:spacing w:line="640" w:lineRule="exact"/>
        <w:ind w:firstLine="640"/>
        <w:jc w:val="both"/>
        <w:outlineLvl w:val="2"/>
      </w:pPr>
      <w:r>
        <w:rPr>
          <w:rFonts w:ascii="黑体" w:hAnsi="黑体" w:eastAsia="黑体"/>
          <w:sz w:val="32"/>
        </w:rPr>
        <w:t>十、其他重要事项的情况说明</w:t>
      </w:r>
    </w:p>
    <w:p w14:paraId="136FBACB">
      <w:pPr>
        <w:spacing w:line="640" w:lineRule="exact"/>
        <w:ind w:firstLine="640"/>
        <w:jc w:val="both"/>
        <w:outlineLvl w:val="3"/>
      </w:pPr>
      <w:r>
        <w:rPr>
          <w:rFonts w:ascii="楷体_GB2312" w:hAnsi="楷体_GB2312" w:eastAsia="楷体_GB2312"/>
          <w:b/>
          <w:sz w:val="32"/>
        </w:rPr>
        <w:t>（一）机关运行经费及公用经费支出情况</w:t>
      </w:r>
    </w:p>
    <w:p w14:paraId="66A1F9A3">
      <w:pPr>
        <w:spacing w:line="580" w:lineRule="exact"/>
        <w:ind w:firstLine="640"/>
        <w:jc w:val="both"/>
      </w:pPr>
      <w:r>
        <w:rPr>
          <w:rFonts w:ascii="仿宋_GB2312" w:hAnsi="仿宋_GB2312" w:eastAsia="仿宋_GB2312"/>
          <w:b w:val="0"/>
          <w:sz w:val="32"/>
        </w:rPr>
        <w:t>2024年度中共且末县委员会统一战线工作部本级（行政单位和参照公务员法管理事业单位）机关运行经费支出5.48万元，比上年减少19.97万元，下降78.47%，主要原因是：严格控制公用经费，合理节约办公用品，减少办公费和维修（护）费。</w:t>
      </w:r>
    </w:p>
    <w:p w14:paraId="11A0004F">
      <w:pPr>
        <w:spacing w:line="640" w:lineRule="exact"/>
        <w:ind w:firstLine="640"/>
        <w:jc w:val="both"/>
        <w:outlineLvl w:val="3"/>
      </w:pPr>
      <w:r>
        <w:rPr>
          <w:rFonts w:ascii="楷体_GB2312" w:hAnsi="楷体_GB2312" w:eastAsia="楷体_GB2312"/>
          <w:b/>
          <w:sz w:val="32"/>
        </w:rPr>
        <w:t>（二）政府采购情况</w:t>
      </w:r>
    </w:p>
    <w:p w14:paraId="13F5D7F4">
      <w:pPr>
        <w:spacing w:line="580" w:lineRule="exact"/>
        <w:ind w:firstLine="640"/>
        <w:jc w:val="both"/>
      </w:pPr>
      <w:r>
        <w:rPr>
          <w:rFonts w:ascii="仿宋_GB2312" w:hAnsi="仿宋_GB2312" w:eastAsia="仿宋_GB2312"/>
          <w:b w:val="0"/>
          <w:sz w:val="32"/>
        </w:rPr>
        <w:t>2024年度政府采购支出总额6.99万元，其中：政府采购货物支出5.88万元、政府采购工程支出0.00万元、政府采购服务支出1.11万元。</w:t>
      </w:r>
    </w:p>
    <w:p w14:paraId="3408FB05">
      <w:pPr>
        <w:spacing w:line="580" w:lineRule="exact"/>
        <w:ind w:firstLine="640"/>
        <w:jc w:val="both"/>
      </w:pPr>
      <w:r>
        <w:rPr>
          <w:rFonts w:ascii="仿宋_GB2312" w:hAnsi="仿宋_GB2312" w:eastAsia="仿宋_GB2312"/>
          <w:b w:val="0"/>
          <w:sz w:val="32"/>
        </w:rPr>
        <w:t>授予中小企业合同金额6.99万元，占政府采购支出总额的100.00%，其中：授予小微企业合同金额6.62万元，占政府采购支出总额的94.71%。</w:t>
      </w:r>
    </w:p>
    <w:p w14:paraId="02BAF13F">
      <w:pPr>
        <w:spacing w:line="640" w:lineRule="exact"/>
        <w:ind w:firstLine="640"/>
        <w:jc w:val="both"/>
        <w:outlineLvl w:val="3"/>
      </w:pPr>
      <w:r>
        <w:rPr>
          <w:rFonts w:ascii="楷体_GB2312" w:hAnsi="楷体_GB2312" w:eastAsia="楷体_GB2312"/>
          <w:b/>
          <w:sz w:val="32"/>
        </w:rPr>
        <w:t>（三）国有资产占用情况说明</w:t>
      </w:r>
    </w:p>
    <w:p w14:paraId="346C0B2B">
      <w:pPr>
        <w:spacing w:line="580" w:lineRule="exact"/>
        <w:ind w:firstLine="640"/>
        <w:jc w:val="both"/>
      </w:pPr>
      <w:r>
        <w:rPr>
          <w:rFonts w:ascii="仿宋_GB2312" w:hAnsi="仿宋_GB2312" w:eastAsia="仿宋_GB2312"/>
          <w:b w:val="0"/>
          <w:sz w:val="32"/>
        </w:rPr>
        <w:t>截至2024年12月31日，房屋0.00平方米，价值0.00万元。车辆2辆，价值42.52万元，其中：副部（省）级及以上领导用车0辆、主要负责人用车2辆、机要通信用车0辆、应急保障用车0辆、执法执勤用车0辆、特种专业技术用车0辆、离退休干部服务用车0辆、其他用车0辆，其他用车主要是：本部门无其他用车。单价100万元（含）以上设备（不含车辆）0台（套）。</w:t>
      </w:r>
    </w:p>
    <w:p w14:paraId="42678555">
      <w:pPr>
        <w:spacing w:line="640" w:lineRule="exact"/>
        <w:ind w:firstLine="640"/>
        <w:jc w:val="both"/>
        <w:outlineLvl w:val="2"/>
      </w:pPr>
      <w:r>
        <w:rPr>
          <w:rFonts w:ascii="黑体" w:hAnsi="黑体" w:eastAsia="黑体"/>
          <w:sz w:val="32"/>
        </w:rPr>
        <w:t>十一、预算绩效的情况说明</w:t>
      </w:r>
    </w:p>
    <w:p w14:paraId="6DA53209">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539.78万元，实际执行总额539.78万元；预算绩效评价项目0个，全年预算数0.00万元，全年执行数0.00万元。预算绩效管理取得的成效：2024年</w:t>
      </w:r>
      <w:r>
        <w:rPr>
          <w:rFonts w:hint="eastAsia" w:ascii="仿宋_GB2312" w:hAnsi="仿宋_GB2312" w:eastAsia="仿宋_GB2312"/>
          <w:b w:val="0"/>
          <w:sz w:val="32"/>
          <w:lang w:eastAsia="zh-CN"/>
        </w:rPr>
        <w:t>本单位</w:t>
      </w:r>
      <w:r>
        <w:rPr>
          <w:rFonts w:ascii="仿宋_GB2312" w:hAnsi="仿宋_GB2312" w:eastAsia="仿宋_GB2312"/>
          <w:b w:val="0"/>
          <w:sz w:val="32"/>
        </w:rPr>
        <w:t>无预算绩效项目。发现的问题及原因：2024年</w:t>
      </w:r>
      <w:r>
        <w:rPr>
          <w:rFonts w:hint="eastAsia" w:ascii="仿宋_GB2312" w:hAnsi="仿宋_GB2312" w:eastAsia="仿宋_GB2312"/>
          <w:b w:val="0"/>
          <w:sz w:val="32"/>
          <w:lang w:eastAsia="zh-CN"/>
        </w:rPr>
        <w:t>本单位</w:t>
      </w:r>
      <w:r>
        <w:rPr>
          <w:rFonts w:ascii="仿宋_GB2312" w:hAnsi="仿宋_GB2312" w:eastAsia="仿宋_GB2312"/>
          <w:b w:val="0"/>
          <w:sz w:val="32"/>
        </w:rPr>
        <w:t>无预算绩效项目。下一步改进措施：2024年</w:t>
      </w:r>
      <w:r>
        <w:rPr>
          <w:rFonts w:hint="eastAsia" w:ascii="仿宋_GB2312" w:hAnsi="仿宋_GB2312" w:eastAsia="仿宋_GB2312"/>
          <w:b w:val="0"/>
          <w:sz w:val="32"/>
          <w:lang w:eastAsia="zh-CN"/>
        </w:rPr>
        <w:t>本单位</w:t>
      </w:r>
      <w:r>
        <w:rPr>
          <w:rFonts w:ascii="仿宋_GB2312" w:hAnsi="仿宋_GB2312" w:eastAsia="仿宋_GB2312"/>
          <w:b w:val="0"/>
          <w:sz w:val="32"/>
        </w:rPr>
        <w:t>无预算绩效项目。具体附部门整体支出绩效自评表。</w:t>
      </w:r>
    </w:p>
    <w:p w14:paraId="311FE318">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9ADCEA4">
        <w:tblPrEx>
          <w:tblCellMar>
            <w:top w:w="0" w:type="dxa"/>
            <w:left w:w="108" w:type="dxa"/>
            <w:bottom w:w="0" w:type="dxa"/>
            <w:right w:w="108" w:type="dxa"/>
          </w:tblCellMar>
        </w:tblPrEx>
        <w:tc>
          <w:tcPr>
            <w:tcW w:w="8847" w:type="dxa"/>
            <w:gridSpan w:val="9"/>
            <w:vAlign w:val="center"/>
          </w:tcPr>
          <w:p w14:paraId="7967D765">
            <w:pPr>
              <w:jc w:val="center"/>
            </w:pPr>
            <w:r>
              <w:rPr>
                <w:rFonts w:ascii="宋体" w:hAnsi="宋体" w:eastAsia="宋体"/>
                <w:sz w:val="24"/>
              </w:rPr>
              <w:t>部门整体支出绩效自评表</w:t>
            </w:r>
          </w:p>
        </w:tc>
      </w:tr>
      <w:tr w14:paraId="21D81EF2">
        <w:tblPrEx>
          <w:tblCellMar>
            <w:top w:w="0" w:type="dxa"/>
            <w:left w:w="108" w:type="dxa"/>
            <w:bottom w:w="0" w:type="dxa"/>
            <w:right w:w="108" w:type="dxa"/>
          </w:tblCellMar>
        </w:tblPrEx>
        <w:tc>
          <w:tcPr>
            <w:tcW w:w="8847" w:type="dxa"/>
            <w:gridSpan w:val="9"/>
            <w:vAlign w:val="center"/>
          </w:tcPr>
          <w:p w14:paraId="25F9D09C">
            <w:pPr>
              <w:jc w:val="center"/>
            </w:pPr>
            <w:r>
              <w:rPr>
                <w:rFonts w:ascii="宋体" w:hAnsi="宋体" w:eastAsia="宋体"/>
                <w:sz w:val="24"/>
              </w:rPr>
              <w:t>（2024年度）</w:t>
            </w:r>
          </w:p>
        </w:tc>
      </w:tr>
      <w:tr w14:paraId="3D5FC63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7F6EA5">
            <w:pPr>
              <w:jc w:val="center"/>
            </w:pPr>
            <w:r>
              <w:rPr>
                <w:rFonts w:ascii="宋体" w:hAnsi="宋体" w:eastAsia="宋体"/>
                <w:sz w:val="16"/>
              </w:rPr>
              <w:t>部门名称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0EF74EA">
            <w:pPr>
              <w:jc w:val="center"/>
            </w:pPr>
            <w:r>
              <w:rPr>
                <w:rFonts w:ascii="宋体" w:hAnsi="宋体" w:eastAsia="宋体"/>
                <w:sz w:val="16"/>
              </w:rPr>
              <w:t>中共且末县委员会统一战线工作部本级</w:t>
            </w:r>
          </w:p>
        </w:tc>
      </w:tr>
      <w:tr w14:paraId="4DD8275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48222B">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3DCEBE">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18C63D">
            <w:pPr>
              <w:jc w:val="center"/>
            </w:pPr>
            <w:r>
              <w:rPr>
                <w:rFonts w:ascii="宋体" w:hAnsi="宋体" w:eastAsia="宋体"/>
                <w:sz w:val="16"/>
              </w:rPr>
              <w:t>年初预算数（万元）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E4E61B">
            <w:pPr>
              <w:jc w:val="center"/>
            </w:pPr>
            <w:r>
              <w:rPr>
                <w:rFonts w:ascii="宋体" w:hAnsi="宋体" w:eastAsia="宋体"/>
                <w:sz w:val="16"/>
              </w:rPr>
              <w:t>预算数（调整后）</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E2C74B">
            <w:pPr>
              <w:jc w:val="center"/>
            </w:pPr>
            <w:r>
              <w:rPr>
                <w:rFonts w:ascii="宋体" w:hAnsi="宋体" w:eastAsia="宋体"/>
                <w:sz w:val="16"/>
              </w:rPr>
              <w:t>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3EBDEC">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710AF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2DF5FF">
            <w:pPr>
              <w:jc w:val="center"/>
            </w:pPr>
            <w:r>
              <w:rPr>
                <w:rFonts w:ascii="宋体" w:hAnsi="宋体" w:eastAsia="宋体"/>
                <w:sz w:val="16"/>
              </w:rPr>
              <w:t>得分</w:t>
            </w:r>
          </w:p>
        </w:tc>
      </w:tr>
      <w:tr w14:paraId="17253A5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2A8956"/>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47CD69">
            <w:pPr>
              <w:jc w:val="center"/>
            </w:pPr>
            <w:r>
              <w:rPr>
                <w:rFonts w:ascii="宋体" w:hAnsi="宋体" w:eastAsia="宋体"/>
                <w:sz w:val="16"/>
              </w:rPr>
              <w:t>财政资金（万元）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301C34">
            <w:pPr>
              <w:jc w:val="center"/>
            </w:pPr>
            <w:r>
              <w:rPr>
                <w:rFonts w:ascii="宋体" w:hAnsi="宋体" w:eastAsia="宋体"/>
                <w:sz w:val="16"/>
              </w:rPr>
              <w:t>年度总资金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55C489">
            <w:pPr>
              <w:jc w:val="center"/>
            </w:pPr>
            <w:r>
              <w:rPr>
                <w:rFonts w:ascii="宋体" w:hAnsi="宋体" w:eastAsia="宋体"/>
                <w:sz w:val="16"/>
              </w:rPr>
              <w:t>545.70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09903A">
            <w:pPr>
              <w:jc w:val="center"/>
            </w:pPr>
            <w:r>
              <w:rPr>
                <w:rFonts w:ascii="宋体" w:hAnsi="宋体" w:eastAsia="宋体"/>
                <w:sz w:val="16"/>
              </w:rPr>
              <w:t>539.78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5461B5">
            <w:pPr>
              <w:jc w:val="center"/>
            </w:pPr>
            <w:r>
              <w:rPr>
                <w:rFonts w:ascii="宋体" w:hAnsi="宋体" w:eastAsia="宋体"/>
                <w:sz w:val="16"/>
              </w:rPr>
              <w:t>539.78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9F39F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5F220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685BFD">
            <w:pPr>
              <w:jc w:val="center"/>
            </w:pPr>
            <w:r>
              <w:rPr>
                <w:rFonts w:ascii="宋体" w:hAnsi="宋体" w:eastAsia="宋体"/>
                <w:sz w:val="16"/>
              </w:rPr>
              <w:t>10</w:t>
            </w:r>
          </w:p>
        </w:tc>
      </w:tr>
      <w:tr w14:paraId="63568F0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FC9B7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C2323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F8BAF5">
            <w:pPr>
              <w:jc w:val="center"/>
            </w:pPr>
            <w:r>
              <w:rPr>
                <w:rFonts w:ascii="宋体" w:hAnsi="宋体" w:eastAsia="宋体"/>
                <w:sz w:val="16"/>
              </w:rPr>
              <w:t>其中:上级安排（万元）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3C24D7">
            <w:pPr>
              <w:jc w:val="center"/>
            </w:pPr>
            <w:r>
              <w:rPr>
                <w:rFonts w:ascii="宋体" w:hAnsi="宋体" w:eastAsia="宋体"/>
                <w:sz w:val="16"/>
              </w:rPr>
              <w:t>34.08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6CD39B">
            <w:pPr>
              <w:jc w:val="center"/>
            </w:pPr>
            <w:r>
              <w:rPr>
                <w:rFonts w:ascii="宋体" w:hAnsi="宋体" w:eastAsia="宋体"/>
                <w:sz w:val="16"/>
              </w:rPr>
              <w:t>321.55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087150">
            <w:pPr>
              <w:jc w:val="center"/>
            </w:pPr>
            <w:r>
              <w:rPr>
                <w:rFonts w:ascii="宋体" w:hAnsi="宋体" w:eastAsia="宋体"/>
                <w:sz w:val="16"/>
              </w:rPr>
              <w:t>321.55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3CC9B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B3F45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B25097">
            <w:pPr>
              <w:jc w:val="center"/>
            </w:pPr>
            <w:r>
              <w:rPr>
                <w:rFonts w:ascii="宋体" w:hAnsi="宋体" w:eastAsia="宋体"/>
                <w:sz w:val="16"/>
              </w:rPr>
              <w:t>-</w:t>
            </w:r>
          </w:p>
        </w:tc>
      </w:tr>
      <w:tr w14:paraId="1EF9EA9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FD52C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8AADF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08EE50">
            <w:pPr>
              <w:jc w:val="center"/>
            </w:pPr>
            <w:r>
              <w:rPr>
                <w:rFonts w:ascii="宋体" w:hAnsi="宋体" w:eastAsia="宋体"/>
                <w:sz w:val="16"/>
              </w:rPr>
              <w:t>本级安排（万元）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FA34C4">
            <w:pPr>
              <w:jc w:val="center"/>
            </w:pPr>
            <w:r>
              <w:rPr>
                <w:rFonts w:ascii="宋体" w:hAnsi="宋体" w:eastAsia="宋体"/>
                <w:sz w:val="16"/>
              </w:rPr>
              <w:t>511.62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14A0B4">
            <w:pPr>
              <w:jc w:val="center"/>
            </w:pPr>
            <w:r>
              <w:rPr>
                <w:rFonts w:ascii="宋体" w:hAnsi="宋体" w:eastAsia="宋体"/>
                <w:sz w:val="16"/>
              </w:rPr>
              <w:t>217.85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8DE6E7">
            <w:pPr>
              <w:jc w:val="center"/>
            </w:pPr>
            <w:r>
              <w:rPr>
                <w:rFonts w:ascii="宋体" w:hAnsi="宋体" w:eastAsia="宋体"/>
                <w:sz w:val="16"/>
              </w:rPr>
              <w:t>217.85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D3E8E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A4141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22F2E4">
            <w:pPr>
              <w:jc w:val="center"/>
            </w:pPr>
            <w:r>
              <w:rPr>
                <w:rFonts w:ascii="宋体" w:hAnsi="宋体" w:eastAsia="宋体"/>
                <w:sz w:val="16"/>
              </w:rPr>
              <w:t>-</w:t>
            </w:r>
          </w:p>
        </w:tc>
      </w:tr>
      <w:tr w14:paraId="7B12FB6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5BF93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1FE64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1F0DDC">
            <w:pPr>
              <w:jc w:val="center"/>
            </w:pPr>
            <w:r>
              <w:rPr>
                <w:rFonts w:ascii="宋体" w:hAnsi="宋体" w:eastAsia="宋体"/>
                <w:sz w:val="16"/>
              </w:rPr>
              <w:t>其他资金（万元）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F64DB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A9A874">
            <w:pPr>
              <w:jc w:val="center"/>
            </w:pPr>
            <w:r>
              <w:rPr>
                <w:rFonts w:ascii="宋体" w:hAnsi="宋体" w:eastAsia="宋体"/>
                <w:sz w:val="16"/>
              </w:rPr>
              <w:t>0.38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28B6F6">
            <w:pPr>
              <w:jc w:val="center"/>
            </w:pPr>
            <w:r>
              <w:rPr>
                <w:rFonts w:ascii="宋体" w:hAnsi="宋体" w:eastAsia="宋体"/>
                <w:sz w:val="16"/>
              </w:rPr>
              <w:t>0.38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7105C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2B6C3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35B917">
            <w:pPr>
              <w:jc w:val="center"/>
            </w:pPr>
            <w:r>
              <w:rPr>
                <w:rFonts w:ascii="宋体" w:hAnsi="宋体" w:eastAsia="宋体"/>
                <w:sz w:val="16"/>
              </w:rPr>
              <w:t>-</w:t>
            </w:r>
          </w:p>
        </w:tc>
      </w:tr>
      <w:tr w14:paraId="6076061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D2195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17690EF">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F3A54F0">
            <w:pPr>
              <w:jc w:val="center"/>
            </w:pPr>
            <w:r>
              <w:rPr>
                <w:rFonts w:ascii="宋体" w:hAnsi="宋体" w:eastAsia="宋体"/>
                <w:sz w:val="16"/>
              </w:rPr>
              <w:t>实际完成情况</w:t>
            </w:r>
          </w:p>
        </w:tc>
      </w:tr>
      <w:tr w14:paraId="734C235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9671C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C4B2A0C">
            <w:pPr>
              <w:jc w:val="both"/>
            </w:pPr>
            <w:r>
              <w:rPr>
                <w:rFonts w:hint="eastAsia" w:ascii="宋体" w:hAnsi="宋体"/>
                <w:sz w:val="16"/>
                <w:lang w:eastAsia="zh-CN"/>
              </w:rPr>
              <w:t>1.</w:t>
            </w:r>
            <w:r>
              <w:rPr>
                <w:rFonts w:ascii="宋体" w:hAnsi="宋体" w:eastAsia="宋体"/>
                <w:sz w:val="16"/>
              </w:rPr>
              <w:t>完善统一战线制度体系，加强意识形态领域工作；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2：构建大统战格局，多渠道广泛宣传教育；</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3: 依法治理民族事务，促进民族团结工作；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4：深入推进去极端化工作；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5：落实党外人士统战工作；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6：落实工商联民营企业人士培训，推进非公有制经济；                                                                        7：落实侨务各项工作，加强侨眷与海外人士的沟通。</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F63FEC5">
            <w:pPr>
              <w:jc w:val="both"/>
            </w:pPr>
            <w:r>
              <w:rPr>
                <w:rFonts w:ascii="宋体" w:hAnsi="宋体" w:eastAsia="宋体"/>
                <w:sz w:val="16"/>
              </w:rPr>
              <w:t>2024年且末县委统战部本级年初预算数545.7万元，全年执行数539.78万元， 公共经费节约率5%，人员保障成本经费331.72万元，运转保障成本经费7.73万元，工商联民营企业人士培训15人，制作宣传广告牌10个，拟筹备或召开的重要会议数量2次，群众满意度95%，落实工商联民营企业人士培训，推进非公有制经济。</w:t>
            </w:r>
          </w:p>
        </w:tc>
      </w:tr>
      <w:tr w14:paraId="215E4BE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B5024D">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D5D9E5">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F5DBA3">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002479">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CE7847">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E61582">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39845A">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16AF14">
            <w:pPr>
              <w:jc w:val="center"/>
            </w:pPr>
            <w:r>
              <w:rPr>
                <w:rFonts w:ascii="宋体" w:hAnsi="宋体" w:eastAsia="宋体"/>
                <w:sz w:val="16"/>
              </w:rPr>
              <w:t>得分</w:t>
            </w:r>
          </w:p>
        </w:tc>
      </w:tr>
      <w:tr w14:paraId="5A703AE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69FE53">
            <w:pPr>
              <w:jc w:val="center"/>
            </w:pPr>
            <w:r>
              <w:rPr>
                <w:rFonts w:ascii="宋体" w:hAnsi="宋体" w:eastAsia="宋体"/>
                <w:sz w:val="16"/>
              </w:rPr>
              <w:t>运行成本</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D6B607">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F13797">
            <w:pPr>
              <w:jc w:val="center"/>
            </w:pPr>
            <w:r>
              <w:rPr>
                <w:rFonts w:ascii="宋体" w:hAnsi="宋体" w:eastAsia="宋体"/>
                <w:sz w:val="16"/>
              </w:rPr>
              <w:t>公共经费节约率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F5ACA7">
            <w:pPr>
              <w:jc w:val="center"/>
            </w:pPr>
            <w:r>
              <w:rPr>
                <w:rFonts w:ascii="宋体" w:hAnsi="宋体" w:eastAsia="宋体"/>
                <w:sz w:val="16"/>
              </w:rPr>
              <w:t>&gt;=5%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FB92CD">
            <w:pPr>
              <w:jc w:val="center"/>
            </w:pPr>
            <w:r>
              <w:rPr>
                <w:rFonts w:ascii="宋体" w:hAnsi="宋体" w:eastAsia="宋体"/>
                <w:sz w:val="16"/>
              </w:rPr>
              <w:t>批准的各类规划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BCA32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A33B83">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843D5A">
            <w:pPr>
              <w:jc w:val="center"/>
            </w:pPr>
            <w:r>
              <w:rPr>
                <w:rFonts w:ascii="宋体" w:hAnsi="宋体" w:eastAsia="宋体"/>
                <w:sz w:val="16"/>
              </w:rPr>
              <w:t>20</w:t>
            </w:r>
          </w:p>
        </w:tc>
      </w:tr>
      <w:tr w14:paraId="635D7FA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F4165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334D3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807176">
            <w:pPr>
              <w:jc w:val="center"/>
            </w:pPr>
            <w:r>
              <w:rPr>
                <w:rFonts w:ascii="宋体" w:hAnsi="宋体" w:eastAsia="宋体"/>
                <w:sz w:val="16"/>
              </w:rPr>
              <w:t>人员保障成本经费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EFB70F">
            <w:pPr>
              <w:jc w:val="center"/>
            </w:pPr>
            <w:r>
              <w:rPr>
                <w:rFonts w:ascii="宋体" w:hAnsi="宋体" w:eastAsia="宋体"/>
                <w:sz w:val="16"/>
              </w:rPr>
              <w:t>&lt;=331.24万元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11733E">
            <w:pPr>
              <w:jc w:val="center"/>
            </w:pPr>
            <w:r>
              <w:rPr>
                <w:rFonts w:ascii="宋体" w:hAnsi="宋体" w:eastAsia="宋体"/>
                <w:sz w:val="16"/>
              </w:rPr>
              <w:t>计划标准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6D1FE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7356B4">
            <w:pPr>
              <w:jc w:val="center"/>
            </w:pPr>
            <w:r>
              <w:rPr>
                <w:rFonts w:ascii="宋体" w:hAnsi="宋体" w:eastAsia="宋体"/>
                <w:sz w:val="16"/>
              </w:rPr>
              <w:t>331.72万元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0A8711">
            <w:pPr>
              <w:jc w:val="center"/>
            </w:pPr>
            <w:r>
              <w:rPr>
                <w:rFonts w:ascii="宋体" w:hAnsi="宋体" w:eastAsia="宋体"/>
                <w:sz w:val="16"/>
              </w:rPr>
              <w:t>20</w:t>
            </w:r>
          </w:p>
        </w:tc>
      </w:tr>
      <w:tr w14:paraId="575ADE6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C35CE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A6BBF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94B4F0">
            <w:pPr>
              <w:jc w:val="center"/>
            </w:pPr>
            <w:r>
              <w:rPr>
                <w:rFonts w:ascii="宋体" w:hAnsi="宋体" w:eastAsia="宋体"/>
                <w:sz w:val="16"/>
              </w:rPr>
              <w:t>运转保障成本经费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AA785F">
            <w:pPr>
              <w:jc w:val="center"/>
            </w:pPr>
            <w:r>
              <w:rPr>
                <w:rFonts w:ascii="宋体" w:hAnsi="宋体" w:eastAsia="宋体"/>
                <w:sz w:val="16"/>
              </w:rPr>
              <w:t>&lt;=7.73万元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7F49B1">
            <w:pPr>
              <w:jc w:val="center"/>
            </w:pPr>
            <w:r>
              <w:rPr>
                <w:rFonts w:ascii="宋体" w:hAnsi="宋体" w:eastAsia="宋体"/>
                <w:sz w:val="16"/>
              </w:rPr>
              <w:t>计划标准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BA219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0003DE">
            <w:pPr>
              <w:jc w:val="center"/>
            </w:pPr>
            <w:r>
              <w:rPr>
                <w:rFonts w:ascii="宋体" w:hAnsi="宋体" w:eastAsia="宋体"/>
                <w:sz w:val="16"/>
              </w:rPr>
              <w:t>7.73万元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50AE23">
            <w:pPr>
              <w:jc w:val="center"/>
            </w:pPr>
            <w:r>
              <w:rPr>
                <w:rFonts w:ascii="宋体" w:hAnsi="宋体" w:eastAsia="宋体"/>
                <w:sz w:val="16"/>
              </w:rPr>
              <w:t>15</w:t>
            </w:r>
          </w:p>
        </w:tc>
      </w:tr>
      <w:tr w14:paraId="6A466F0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950B1C">
            <w:pPr>
              <w:jc w:val="center"/>
            </w:pPr>
            <w:r>
              <w:rPr>
                <w:rFonts w:ascii="宋体" w:hAnsi="宋体" w:eastAsia="宋体"/>
                <w:sz w:val="16"/>
              </w:rPr>
              <w:t>履职效能</w:t>
            </w: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A4A05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97F725">
            <w:pPr>
              <w:jc w:val="center"/>
            </w:pPr>
            <w:r>
              <w:rPr>
                <w:rFonts w:ascii="宋体" w:hAnsi="宋体" w:eastAsia="宋体"/>
                <w:sz w:val="16"/>
              </w:rPr>
              <w:t>工商联民营企业人士培训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59556A">
            <w:pPr>
              <w:jc w:val="center"/>
            </w:pPr>
            <w:r>
              <w:rPr>
                <w:rFonts w:ascii="宋体" w:hAnsi="宋体" w:eastAsia="宋体"/>
                <w:sz w:val="16"/>
              </w:rPr>
              <w:t>&gt;=15人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CF7865">
            <w:pPr>
              <w:jc w:val="center"/>
            </w:pPr>
            <w:bookmarkStart w:id="0" w:name="_GoBack"/>
            <w:r>
              <w:rPr>
                <w:rFonts w:ascii="宋体" w:hAnsi="宋体" w:eastAsia="宋体"/>
                <w:sz w:val="16"/>
              </w:rPr>
              <w:t>中央</w:t>
            </w:r>
            <w:bookmarkEnd w:id="0"/>
            <w:r>
              <w:rPr>
                <w:rFonts w:ascii="宋体" w:hAnsi="宋体" w:eastAsia="宋体"/>
                <w:sz w:val="16"/>
              </w:rPr>
              <w:t>要求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82468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5A7C28">
            <w:pPr>
              <w:jc w:val="center"/>
            </w:pPr>
            <w:r>
              <w:rPr>
                <w:rFonts w:ascii="宋体" w:hAnsi="宋体" w:eastAsia="宋体"/>
                <w:sz w:val="16"/>
              </w:rPr>
              <w:t>15人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0DE52B">
            <w:pPr>
              <w:jc w:val="center"/>
            </w:pPr>
            <w:r>
              <w:rPr>
                <w:rFonts w:ascii="宋体" w:hAnsi="宋体" w:eastAsia="宋体"/>
                <w:sz w:val="16"/>
              </w:rPr>
              <w:t>20</w:t>
            </w:r>
          </w:p>
        </w:tc>
      </w:tr>
      <w:tr w14:paraId="152ACA3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D68C92">
            <w:pPr>
              <w:jc w:val="center"/>
            </w:pPr>
            <w:r>
              <w:rPr>
                <w:rFonts w:ascii="宋体" w:hAnsi="宋体" w:eastAsia="宋体"/>
                <w:sz w:val="16"/>
              </w:rPr>
              <w:t>服务对象满意度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1926B9">
            <w:pPr>
              <w:jc w:val="center"/>
            </w:pPr>
            <w:r>
              <w:rPr>
                <w:rFonts w:ascii="宋体" w:hAnsi="宋体" w:eastAsia="宋体"/>
                <w:sz w:val="16"/>
              </w:rPr>
              <w:t>满意度指标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EF2254">
            <w:pPr>
              <w:jc w:val="center"/>
            </w:pPr>
            <w:r>
              <w:rPr>
                <w:rFonts w:ascii="宋体" w:hAnsi="宋体" w:eastAsia="宋体"/>
                <w:sz w:val="16"/>
              </w:rPr>
              <w:t>工商联民营企业人士满意度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8630C3">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E2A892">
            <w:pPr>
              <w:jc w:val="center"/>
            </w:pPr>
            <w:r>
              <w:rPr>
                <w:rFonts w:ascii="宋体" w:hAnsi="宋体" w:eastAsia="宋体"/>
                <w:sz w:val="16"/>
              </w:rPr>
              <w:t>计划标准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CF9408">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DE1A41">
            <w:pPr>
              <w:jc w:val="center"/>
            </w:pPr>
            <w:r>
              <w:rPr>
                <w:rFonts w:ascii="宋体" w:hAnsi="宋体" w:eastAsia="宋体"/>
                <w:sz w:val="16"/>
              </w:rPr>
              <w: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73407B">
            <w:pPr>
              <w:jc w:val="center"/>
            </w:pPr>
            <w:r>
              <w:rPr>
                <w:rFonts w:ascii="宋体" w:hAnsi="宋体" w:eastAsia="宋体"/>
                <w:sz w:val="16"/>
              </w:rPr>
              <w:t>15</w:t>
            </w:r>
          </w:p>
        </w:tc>
      </w:tr>
    </w:tbl>
    <w:p w14:paraId="79A2820C">
      <w:r>
        <w:br w:type="page"/>
      </w:r>
    </w:p>
    <w:p w14:paraId="55A35A7F">
      <w:pPr>
        <w:spacing w:line="640" w:lineRule="exact"/>
        <w:ind w:firstLine="640"/>
        <w:jc w:val="both"/>
        <w:outlineLvl w:val="2"/>
      </w:pPr>
      <w:r>
        <w:rPr>
          <w:rFonts w:ascii="黑体" w:hAnsi="黑体" w:eastAsia="黑体"/>
          <w:sz w:val="32"/>
        </w:rPr>
        <w:t>十二、其他需说明的事项</w:t>
      </w:r>
    </w:p>
    <w:p w14:paraId="61E2E097">
      <w:pPr>
        <w:spacing w:line="580" w:lineRule="exact"/>
        <w:ind w:firstLine="640"/>
        <w:jc w:val="both"/>
      </w:pPr>
      <w:r>
        <w:rPr>
          <w:rFonts w:ascii="仿宋_GB2312" w:hAnsi="仿宋_GB2312" w:eastAsia="仿宋_GB2312"/>
          <w:b w:val="0"/>
          <w:sz w:val="32"/>
        </w:rPr>
        <w:t>本部门无其他需说明的事项。</w:t>
      </w:r>
    </w:p>
    <w:p w14:paraId="65A514BC">
      <w:r>
        <w:br w:type="page"/>
      </w:r>
    </w:p>
    <w:p w14:paraId="0D467C01">
      <w:pPr>
        <w:spacing w:line="240" w:lineRule="auto"/>
        <w:jc w:val="center"/>
        <w:outlineLvl w:val="1"/>
      </w:pPr>
      <w:r>
        <w:rPr>
          <w:rFonts w:ascii="黑体" w:hAnsi="黑体" w:eastAsia="黑体"/>
          <w:sz w:val="32"/>
        </w:rPr>
        <w:t>第三部分 专业名词解释</w:t>
      </w:r>
    </w:p>
    <w:p w14:paraId="2D1F47A2">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441FF7F">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288E955">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6BE5248">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1317FDE">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3C401C2">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40F37DEC">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6483A21">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B91D6D3">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A412192">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E0E3136">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57929D6">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990C7DB">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ACF1F4D">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26D2206">
      <w:r>
        <w:br w:type="page"/>
      </w:r>
    </w:p>
    <w:p w14:paraId="45B3720A">
      <w:pPr>
        <w:spacing w:line="240" w:lineRule="auto"/>
        <w:jc w:val="center"/>
        <w:outlineLvl w:val="1"/>
      </w:pPr>
      <w:r>
        <w:rPr>
          <w:rFonts w:ascii="黑体" w:hAnsi="黑体" w:eastAsia="黑体"/>
          <w:sz w:val="32"/>
        </w:rPr>
        <w:t>第四部分 部门决算报表（见附表）</w:t>
      </w:r>
    </w:p>
    <w:p w14:paraId="625CF8E4">
      <w:pPr>
        <w:spacing w:line="240" w:lineRule="auto"/>
        <w:ind w:firstLine="640"/>
        <w:jc w:val="both"/>
      </w:pPr>
      <w:r>
        <w:rPr>
          <w:rFonts w:ascii="仿宋_GB2312" w:hAnsi="仿宋_GB2312" w:eastAsia="仿宋_GB2312"/>
          <w:b w:val="0"/>
          <w:sz w:val="32"/>
        </w:rPr>
        <w:t>一、《收入支出决算总表》</w:t>
      </w:r>
    </w:p>
    <w:p w14:paraId="7FF44A08">
      <w:pPr>
        <w:spacing w:line="240" w:lineRule="auto"/>
        <w:ind w:firstLine="640"/>
        <w:jc w:val="both"/>
      </w:pPr>
      <w:r>
        <w:rPr>
          <w:rFonts w:ascii="仿宋_GB2312" w:hAnsi="仿宋_GB2312" w:eastAsia="仿宋_GB2312"/>
          <w:b w:val="0"/>
          <w:sz w:val="32"/>
        </w:rPr>
        <w:t>二、《收入决算表》</w:t>
      </w:r>
    </w:p>
    <w:p w14:paraId="2FDB1F29">
      <w:pPr>
        <w:spacing w:line="240" w:lineRule="auto"/>
        <w:ind w:firstLine="640"/>
        <w:jc w:val="both"/>
      </w:pPr>
      <w:r>
        <w:rPr>
          <w:rFonts w:ascii="仿宋_GB2312" w:hAnsi="仿宋_GB2312" w:eastAsia="仿宋_GB2312"/>
          <w:b w:val="0"/>
          <w:sz w:val="32"/>
        </w:rPr>
        <w:t>三、《支出决算表》</w:t>
      </w:r>
    </w:p>
    <w:p w14:paraId="2A9E5410">
      <w:pPr>
        <w:spacing w:line="240" w:lineRule="auto"/>
        <w:ind w:firstLine="640"/>
        <w:jc w:val="both"/>
      </w:pPr>
      <w:r>
        <w:rPr>
          <w:rFonts w:ascii="仿宋_GB2312" w:hAnsi="仿宋_GB2312" w:eastAsia="仿宋_GB2312"/>
          <w:b w:val="0"/>
          <w:sz w:val="32"/>
        </w:rPr>
        <w:t>四、《财政拨款收入支出决算总表》</w:t>
      </w:r>
    </w:p>
    <w:p w14:paraId="098B2214">
      <w:pPr>
        <w:spacing w:line="240" w:lineRule="auto"/>
        <w:ind w:firstLine="640"/>
        <w:jc w:val="both"/>
      </w:pPr>
      <w:r>
        <w:rPr>
          <w:rFonts w:ascii="仿宋_GB2312" w:hAnsi="仿宋_GB2312" w:eastAsia="仿宋_GB2312"/>
          <w:b w:val="0"/>
          <w:sz w:val="32"/>
        </w:rPr>
        <w:t>五、《一般公共预算财政拨款支出决算表》</w:t>
      </w:r>
    </w:p>
    <w:p w14:paraId="08122CB3">
      <w:pPr>
        <w:spacing w:line="240" w:lineRule="auto"/>
        <w:ind w:firstLine="640"/>
        <w:jc w:val="both"/>
      </w:pPr>
      <w:r>
        <w:rPr>
          <w:rFonts w:ascii="仿宋_GB2312" w:hAnsi="仿宋_GB2312" w:eastAsia="仿宋_GB2312"/>
          <w:b w:val="0"/>
          <w:sz w:val="32"/>
        </w:rPr>
        <w:t>六、《一般公共预算财政拨款基本支出决算表》</w:t>
      </w:r>
    </w:p>
    <w:p w14:paraId="15003A4F">
      <w:pPr>
        <w:spacing w:line="240" w:lineRule="auto"/>
        <w:ind w:firstLine="640"/>
        <w:jc w:val="both"/>
      </w:pPr>
      <w:r>
        <w:rPr>
          <w:rFonts w:ascii="仿宋_GB2312" w:hAnsi="仿宋_GB2312" w:eastAsia="仿宋_GB2312"/>
          <w:b w:val="0"/>
          <w:sz w:val="32"/>
        </w:rPr>
        <w:t>七、《政府性基金预算财政拨款收入支出决算表》</w:t>
      </w:r>
    </w:p>
    <w:p w14:paraId="75767998">
      <w:pPr>
        <w:spacing w:line="240" w:lineRule="auto"/>
        <w:ind w:firstLine="640"/>
        <w:jc w:val="both"/>
      </w:pPr>
      <w:r>
        <w:rPr>
          <w:rFonts w:ascii="仿宋_GB2312" w:hAnsi="仿宋_GB2312" w:eastAsia="仿宋_GB2312"/>
          <w:b w:val="0"/>
          <w:sz w:val="32"/>
        </w:rPr>
        <w:t>八、《国有资本经营预算财政拨款收入支出决算表》</w:t>
      </w:r>
    </w:p>
    <w:p w14:paraId="1F25A5EE">
      <w:pPr>
        <w:spacing w:line="240" w:lineRule="auto"/>
        <w:ind w:firstLine="640"/>
        <w:jc w:val="both"/>
      </w:pPr>
      <w:r>
        <w:rPr>
          <w:rFonts w:ascii="仿宋_GB2312" w:hAnsi="仿宋_GB2312" w:eastAsia="仿宋_GB2312"/>
          <w:b w:val="0"/>
          <w:sz w:val="32"/>
        </w:rPr>
        <w:t>九、《财政拨款“三公”经费支出决算表》</w:t>
      </w:r>
    </w:p>
    <w:p w14:paraId="713BE86F">
      <w:pPr>
        <w:spacing w:line="240" w:lineRule="auto"/>
        <w:ind w:firstLine="640"/>
        <w:jc w:val="both"/>
      </w:pPr>
    </w:p>
    <w:p w14:paraId="740020BB">
      <w:pPr>
        <w:spacing w:line="240" w:lineRule="auto"/>
        <w:ind w:firstLine="640"/>
        <w:jc w:val="both"/>
      </w:pPr>
    </w:p>
    <w:p w14:paraId="0584FBE0">
      <w:pPr>
        <w:spacing w:line="240" w:lineRule="auto"/>
        <w:ind w:firstLine="640"/>
        <w:jc w:val="both"/>
      </w:pPr>
    </w:p>
    <w:p w14:paraId="79C15E9C">
      <w:pPr>
        <w:spacing w:line="240" w:lineRule="auto"/>
        <w:ind w:firstLine="640"/>
        <w:jc w:val="both"/>
      </w:pPr>
    </w:p>
    <w:p w14:paraId="783A2CB8">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990505"/>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0912D08"/>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5603</Words>
  <Characters>6373</Characters>
  <Lines>0</Lines>
  <Paragraphs>0</Paragraphs>
  <TotalTime>2</TotalTime>
  <ScaleCrop>false</ScaleCrop>
  <LinksUpToDate>false</LinksUpToDate>
  <CharactersWithSpaces>6381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2025-09-26T08:47:31Z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