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B3DE07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且末县档案馆</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55886AD">
      <w:r>
        <w:br w:type="page"/>
      </w:r>
    </w:p>
    <w:p w14:paraId="7D39BF53">
      <w:pPr>
        <w:spacing w:line="640" w:lineRule="exact"/>
        <w:jc w:val="center"/>
        <w:outlineLvl w:val="1"/>
      </w:pPr>
      <w:r>
        <w:rPr>
          <w:rFonts w:ascii="黑体" w:hAnsi="黑体" w:eastAsia="黑体"/>
          <w:sz w:val="32"/>
        </w:rPr>
        <w:t>第一部分 单位概况</w:t>
      </w:r>
    </w:p>
    <w:p w14:paraId="5C535EFE">
      <w:pPr>
        <w:spacing w:line="640" w:lineRule="exact"/>
        <w:ind w:firstLine="640"/>
        <w:jc w:val="both"/>
        <w:outlineLvl w:val="2"/>
      </w:pPr>
      <w:r>
        <w:rPr>
          <w:rFonts w:ascii="黑体" w:hAnsi="黑体" w:eastAsia="黑体"/>
          <w:sz w:val="32"/>
        </w:rPr>
        <w:t>一、主要职能</w:t>
      </w:r>
    </w:p>
    <w:p w14:paraId="283D27EF">
      <w:pPr>
        <w:spacing w:line="580" w:lineRule="exact"/>
        <w:ind w:firstLine="640"/>
        <w:jc w:val="both"/>
      </w:pPr>
      <w:r>
        <w:rPr>
          <w:rFonts w:ascii="仿宋_GB2312" w:hAnsi="仿宋_GB2312" w:eastAsia="仿宋_GB2312"/>
          <w:sz w:val="32"/>
        </w:rPr>
        <w:t>1.贯彻执行《中华人民共和国档案法》《</w:t>
      </w:r>
      <w:r>
        <w:rPr>
          <w:rFonts w:hint="eastAsia" w:ascii="仿宋_GB2312" w:hAnsi="仿宋_GB2312" w:eastAsia="仿宋_GB2312"/>
          <w:sz w:val="32"/>
          <w:lang w:eastAsia="zh-CN"/>
        </w:rPr>
        <w:t>中华人民共和国档案法实施条例</w:t>
      </w:r>
      <w:r>
        <w:rPr>
          <w:rFonts w:ascii="仿宋_GB2312" w:hAnsi="仿宋_GB2312" w:eastAsia="仿宋_GB2312"/>
          <w:sz w:val="32"/>
        </w:rPr>
        <w:t>》及党和国家的法律、法规、方针政策，按照国家、自治区、自治州和且末县档案局关于档案工作的要求，落实且末县档案事业发展规划、计划和相关政策法规。</w:t>
      </w:r>
    </w:p>
    <w:p w14:paraId="6FAD5712">
      <w:pPr>
        <w:spacing w:line="580" w:lineRule="exact"/>
        <w:ind w:firstLine="640"/>
        <w:jc w:val="both"/>
      </w:pPr>
      <w:r>
        <w:rPr>
          <w:rFonts w:ascii="仿宋_GB2312" w:hAnsi="仿宋_GB2312" w:eastAsia="仿宋_GB2312"/>
          <w:sz w:val="32"/>
        </w:rPr>
        <w:t>2.按照规定整理和保管各类重要档案资料，保守党和国家秘密，维护档案的完整，确保档案资料的安全。</w:t>
      </w:r>
    </w:p>
    <w:p w14:paraId="06325AE2">
      <w:pPr>
        <w:spacing w:line="580" w:lineRule="exact"/>
        <w:ind w:firstLine="640"/>
        <w:jc w:val="both"/>
      </w:pPr>
      <w:r>
        <w:rPr>
          <w:rFonts w:ascii="仿宋_GB2312" w:hAnsi="仿宋_GB2312" w:eastAsia="仿宋_GB2312"/>
          <w:sz w:val="32"/>
        </w:rPr>
        <w:t>3.负责接收、征集且末县党政机关、人民团体、国有企事业单位和其他组织等形成的重要档案资料；收集且末县有关档案文件和史料，参与史志编修，做好编研出版档案资料工作；负责馆藏档案资源信息开发和提供利用，依法向社会开放馆藏档案。</w:t>
      </w:r>
    </w:p>
    <w:p w14:paraId="1CF9F815">
      <w:pPr>
        <w:spacing w:line="580" w:lineRule="exact"/>
        <w:ind w:firstLine="640"/>
        <w:jc w:val="both"/>
      </w:pPr>
      <w:r>
        <w:rPr>
          <w:rFonts w:ascii="仿宋_GB2312" w:hAnsi="仿宋_GB2312" w:eastAsia="仿宋_GB2312"/>
          <w:sz w:val="32"/>
        </w:rPr>
        <w:t>4.根据《国家档案馆爱国主义教育基地工作规范》等相关要求，负责管理且末县档案馆爱国主义教育基地，向社会开展爱国主义、革命传统教育和县情知识宣传教育活动。</w:t>
      </w:r>
    </w:p>
    <w:p w14:paraId="1CC85944">
      <w:pPr>
        <w:spacing w:line="580" w:lineRule="exact"/>
        <w:ind w:firstLine="640"/>
        <w:jc w:val="both"/>
      </w:pPr>
      <w:r>
        <w:rPr>
          <w:rFonts w:ascii="仿宋_GB2312" w:hAnsi="仿宋_GB2312" w:eastAsia="仿宋_GB2312"/>
          <w:sz w:val="32"/>
        </w:rPr>
        <w:t>5.负责档案信息化建设，</w:t>
      </w:r>
      <w:r>
        <w:rPr>
          <w:rFonts w:hint="eastAsia" w:ascii="仿宋_GB2312" w:hAnsi="仿宋_GB2312" w:eastAsia="仿宋_GB2312"/>
          <w:sz w:val="32"/>
          <w:lang w:eastAsia="zh-CN"/>
        </w:rPr>
        <w:t>接收</w:t>
      </w:r>
      <w:r>
        <w:rPr>
          <w:rFonts w:ascii="仿宋_GB2312" w:hAnsi="仿宋_GB2312" w:eastAsia="仿宋_GB2312"/>
          <w:sz w:val="32"/>
        </w:rPr>
        <w:t>、征集、保管、利用电子档案，建立电子档案备份管理中心，为电子档案、传统载体档案数字化成果、馆际间异地备份提供支持和服务，推进档案工作的科学化、信息化和现代化管理。</w:t>
      </w:r>
    </w:p>
    <w:p w14:paraId="0983E537">
      <w:pPr>
        <w:spacing w:line="580" w:lineRule="exact"/>
        <w:ind w:firstLine="640"/>
        <w:jc w:val="both"/>
      </w:pPr>
      <w:r>
        <w:rPr>
          <w:rFonts w:ascii="仿宋_GB2312" w:hAnsi="仿宋_GB2312" w:eastAsia="仿宋_GB2312"/>
          <w:sz w:val="32"/>
        </w:rPr>
        <w:t>6.负责且末县政府信息公开和且末县现行文件阅览中心的查询服务工作。</w:t>
      </w:r>
    </w:p>
    <w:p w14:paraId="7BA0E784">
      <w:pPr>
        <w:spacing w:line="580" w:lineRule="exact"/>
        <w:ind w:firstLine="640"/>
        <w:jc w:val="both"/>
      </w:pPr>
      <w:r>
        <w:rPr>
          <w:rFonts w:ascii="仿宋_GB2312" w:hAnsi="仿宋_GB2312" w:eastAsia="仿宋_GB2312"/>
          <w:sz w:val="32"/>
        </w:rPr>
        <w:t>7.完成且末县党委办公室（档案局）交办的其他任务。</w:t>
      </w:r>
    </w:p>
    <w:p w14:paraId="2C69BF41">
      <w:pPr>
        <w:spacing w:line="640" w:lineRule="exact"/>
        <w:ind w:firstLine="640"/>
        <w:jc w:val="both"/>
        <w:outlineLvl w:val="2"/>
      </w:pPr>
      <w:r>
        <w:rPr>
          <w:rFonts w:ascii="黑体" w:hAnsi="黑体" w:eastAsia="黑体"/>
          <w:sz w:val="32"/>
        </w:rPr>
        <w:t>二、机构设置及人员情况</w:t>
      </w:r>
      <w:bookmarkStart w:id="0" w:name="_GoBack"/>
      <w:bookmarkEnd w:id="0"/>
    </w:p>
    <w:p w14:paraId="5AB2C3B9">
      <w:pPr>
        <w:spacing w:line="580" w:lineRule="exact"/>
        <w:ind w:firstLine="640"/>
        <w:jc w:val="both"/>
      </w:pPr>
      <w:r>
        <w:rPr>
          <w:rFonts w:ascii="仿宋_GB2312" w:hAnsi="仿宋_GB2312" w:eastAsia="仿宋_GB2312"/>
          <w:sz w:val="32"/>
        </w:rPr>
        <w:t>且末县档案馆2024年度，实有人数3人，其中：在职人员3人，减少1人；离休人员0人，增加0人；退休人员0人,增加0人。</w:t>
      </w:r>
    </w:p>
    <w:p w14:paraId="2185A4C4">
      <w:pPr>
        <w:spacing w:line="580" w:lineRule="exact"/>
        <w:ind w:firstLine="640"/>
        <w:jc w:val="both"/>
      </w:pPr>
      <w:r>
        <w:rPr>
          <w:rFonts w:ascii="仿宋_GB2312" w:hAnsi="仿宋_GB2312" w:eastAsia="仿宋_GB2312"/>
          <w:sz w:val="32"/>
        </w:rPr>
        <w:t>且末县档案馆无下属预算单位，下设2个科室，分别是：办公室（信息技术科）、综合业务室。</w:t>
      </w:r>
    </w:p>
    <w:p w14:paraId="3A4EAA31">
      <w:r>
        <w:br w:type="page"/>
      </w:r>
    </w:p>
    <w:p w14:paraId="1DB6A53A">
      <w:pPr>
        <w:spacing w:line="240" w:lineRule="auto"/>
        <w:jc w:val="center"/>
        <w:outlineLvl w:val="1"/>
      </w:pPr>
      <w:r>
        <w:rPr>
          <w:rFonts w:ascii="黑体" w:hAnsi="黑体" w:eastAsia="黑体"/>
          <w:sz w:val="32"/>
        </w:rPr>
        <w:t>第二部分 部门决算情况说明</w:t>
      </w:r>
    </w:p>
    <w:p w14:paraId="6BA157EA">
      <w:pPr>
        <w:spacing w:line="640" w:lineRule="exact"/>
        <w:ind w:firstLine="640"/>
        <w:jc w:val="both"/>
        <w:outlineLvl w:val="2"/>
      </w:pPr>
      <w:r>
        <w:rPr>
          <w:rFonts w:ascii="黑体" w:hAnsi="黑体" w:eastAsia="黑体"/>
          <w:sz w:val="32"/>
        </w:rPr>
        <w:t>一、收入支出决算总体情况说明</w:t>
      </w:r>
    </w:p>
    <w:p w14:paraId="1C9BE148">
      <w:pPr>
        <w:spacing w:line="580" w:lineRule="exact"/>
        <w:ind w:firstLine="640"/>
        <w:jc w:val="both"/>
      </w:pPr>
      <w:r>
        <w:rPr>
          <w:rFonts w:ascii="仿宋_GB2312" w:hAnsi="仿宋_GB2312" w:eastAsia="仿宋_GB2312"/>
          <w:b/>
          <w:sz w:val="32"/>
        </w:rPr>
        <w:t>2024年度收入总计62.19万元，</w:t>
      </w:r>
      <w:r>
        <w:rPr>
          <w:rFonts w:ascii="仿宋_GB2312" w:hAnsi="仿宋_GB2312" w:eastAsia="仿宋_GB2312"/>
          <w:b w:val="0"/>
          <w:sz w:val="32"/>
        </w:rPr>
        <w:t>其中：本年收入合计62.19万元，使用非财政拨款结余（含专用结余）0.00万元，年初结转和结余0.00万元。</w:t>
      </w:r>
    </w:p>
    <w:p w14:paraId="529DD8E6">
      <w:pPr>
        <w:spacing w:line="580" w:lineRule="exact"/>
        <w:ind w:firstLine="640"/>
        <w:jc w:val="both"/>
      </w:pPr>
      <w:r>
        <w:rPr>
          <w:rFonts w:ascii="仿宋_GB2312" w:hAnsi="仿宋_GB2312" w:eastAsia="仿宋_GB2312"/>
          <w:b/>
          <w:sz w:val="32"/>
        </w:rPr>
        <w:t>2024年度支出总计62.19万元，</w:t>
      </w:r>
      <w:r>
        <w:rPr>
          <w:rFonts w:ascii="仿宋_GB2312" w:hAnsi="仿宋_GB2312" w:eastAsia="仿宋_GB2312"/>
          <w:b w:val="0"/>
          <w:sz w:val="32"/>
        </w:rPr>
        <w:t>其中：本年支出合计62.19万元，结余分配0.00万元，年末结转和结余0.00万元。</w:t>
      </w:r>
    </w:p>
    <w:p w14:paraId="0E95289C">
      <w:pPr>
        <w:spacing w:line="580" w:lineRule="exact"/>
        <w:ind w:firstLine="640"/>
        <w:jc w:val="both"/>
      </w:pPr>
      <w:r>
        <w:rPr>
          <w:rFonts w:ascii="仿宋_GB2312" w:hAnsi="仿宋_GB2312" w:eastAsia="仿宋_GB2312"/>
          <w:b w:val="0"/>
          <w:sz w:val="32"/>
        </w:rPr>
        <w:t>收入支出总体与上年相比，减少14.17万元，下降18.56%，主要原因是：一是本年在职人员减少，相关人员经费较上年减少；二是上年补发以前年度绩效工资以及13个月工资和优秀奖励金，本年无此经费支出。</w:t>
      </w:r>
    </w:p>
    <w:p w14:paraId="3ECDADE3">
      <w:pPr>
        <w:spacing w:line="640" w:lineRule="exact"/>
        <w:ind w:firstLine="640"/>
        <w:jc w:val="both"/>
        <w:outlineLvl w:val="2"/>
      </w:pPr>
      <w:r>
        <w:rPr>
          <w:rFonts w:ascii="黑体" w:hAnsi="黑体" w:eastAsia="黑体"/>
          <w:sz w:val="32"/>
        </w:rPr>
        <w:t>二、收入决算情况说明</w:t>
      </w:r>
    </w:p>
    <w:p w14:paraId="39EE15E9">
      <w:pPr>
        <w:spacing w:line="580" w:lineRule="exact"/>
        <w:ind w:firstLine="640"/>
        <w:jc w:val="both"/>
      </w:pPr>
      <w:r>
        <w:rPr>
          <w:rFonts w:ascii="仿宋_GB2312" w:hAnsi="仿宋_GB2312" w:eastAsia="仿宋_GB2312"/>
          <w:b/>
          <w:sz w:val="32"/>
        </w:rPr>
        <w:t>本年收入62.19万元，</w:t>
      </w:r>
      <w:r>
        <w:rPr>
          <w:rFonts w:ascii="仿宋_GB2312" w:hAnsi="仿宋_GB2312" w:eastAsia="仿宋_GB2312"/>
          <w:b w:val="0"/>
          <w:sz w:val="32"/>
        </w:rPr>
        <w:t>其中：财政拨款收入62.19万元，占100.00%；上级补助收入0.00万元，占0.00%；事业收入0.00万元，占0.00%；经营收入0.00万元，占0.00%；附属单位上缴收入0.00万元，占0.00%；其他收入0.00万元，占0.00%。</w:t>
      </w:r>
    </w:p>
    <w:p w14:paraId="51B78D9D">
      <w:pPr>
        <w:spacing w:line="640" w:lineRule="exact"/>
        <w:ind w:firstLine="640"/>
        <w:jc w:val="both"/>
        <w:outlineLvl w:val="2"/>
      </w:pPr>
      <w:r>
        <w:rPr>
          <w:rFonts w:ascii="黑体" w:hAnsi="黑体" w:eastAsia="黑体"/>
          <w:sz w:val="32"/>
        </w:rPr>
        <w:t>三、支出决算情况说明</w:t>
      </w:r>
    </w:p>
    <w:p w14:paraId="70ADA6C8">
      <w:pPr>
        <w:spacing w:line="580" w:lineRule="exact"/>
        <w:ind w:firstLine="640"/>
        <w:jc w:val="both"/>
      </w:pPr>
      <w:r>
        <w:rPr>
          <w:rFonts w:ascii="仿宋_GB2312" w:hAnsi="仿宋_GB2312" w:eastAsia="仿宋_GB2312"/>
          <w:b/>
          <w:sz w:val="32"/>
        </w:rPr>
        <w:t>本年支出62.19万元，</w:t>
      </w:r>
      <w:r>
        <w:rPr>
          <w:rFonts w:ascii="仿宋_GB2312" w:hAnsi="仿宋_GB2312" w:eastAsia="仿宋_GB2312"/>
          <w:b w:val="0"/>
          <w:sz w:val="32"/>
        </w:rPr>
        <w:t>其中：基本支出62.19万元，占100.00%；项目支出0.00万元，占0.00%；上缴上级支出0.00万元，占0.00%；经营支出0.00万元，占0.00%；对附属单位补助支出0.00万元，占0.00%。</w:t>
      </w:r>
    </w:p>
    <w:p w14:paraId="451215E5">
      <w:pPr>
        <w:spacing w:line="640" w:lineRule="exact"/>
        <w:ind w:firstLine="640"/>
        <w:jc w:val="both"/>
        <w:outlineLvl w:val="2"/>
      </w:pPr>
      <w:r>
        <w:rPr>
          <w:rFonts w:ascii="黑体" w:hAnsi="黑体" w:eastAsia="黑体"/>
          <w:sz w:val="32"/>
        </w:rPr>
        <w:t>四、财政拨款收入支出决算总体情况说明</w:t>
      </w:r>
    </w:p>
    <w:p w14:paraId="51111CEB">
      <w:pPr>
        <w:spacing w:line="580" w:lineRule="exact"/>
        <w:ind w:firstLine="640"/>
        <w:jc w:val="both"/>
      </w:pPr>
      <w:r>
        <w:rPr>
          <w:rFonts w:ascii="仿宋_GB2312" w:hAnsi="仿宋_GB2312" w:eastAsia="仿宋_GB2312"/>
          <w:b/>
          <w:sz w:val="32"/>
        </w:rPr>
        <w:t>2024年度财政拨款收入总计62.19万元，</w:t>
      </w:r>
      <w:r>
        <w:rPr>
          <w:rFonts w:ascii="仿宋_GB2312" w:hAnsi="仿宋_GB2312" w:eastAsia="仿宋_GB2312"/>
          <w:b w:val="0"/>
          <w:sz w:val="32"/>
        </w:rPr>
        <w:t>其中：年初财政拨款结转和结余0.00万元，本年财政拨款收入62.19万元。</w:t>
      </w:r>
      <w:r>
        <w:rPr>
          <w:rFonts w:ascii="仿宋_GB2312" w:hAnsi="仿宋_GB2312" w:eastAsia="仿宋_GB2312"/>
          <w:b/>
          <w:sz w:val="32"/>
        </w:rPr>
        <w:t>财政拨款支出总计62.19万元，</w:t>
      </w:r>
      <w:r>
        <w:rPr>
          <w:rFonts w:ascii="仿宋_GB2312" w:hAnsi="仿宋_GB2312" w:eastAsia="仿宋_GB2312"/>
          <w:b w:val="0"/>
          <w:sz w:val="32"/>
        </w:rPr>
        <w:t>其中：年末财政拨款结转和结余0.00万元，本年财政拨款支出62.19万元。</w:t>
      </w:r>
    </w:p>
    <w:p w14:paraId="121906A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减少14.17万元，下降18.56%，主要原因是：一是本年在职人员减少，相关人员经费较上年减少；二是上年补发以前年度绩效工资以及13个月工资和优秀奖励金，本年无此经费支出。</w:t>
      </w:r>
      <w:r>
        <w:rPr>
          <w:rFonts w:ascii="仿宋_GB2312" w:hAnsi="仿宋_GB2312" w:eastAsia="仿宋_GB2312"/>
          <w:b/>
          <w:sz w:val="32"/>
        </w:rPr>
        <w:t>与年初预算相比，</w:t>
      </w:r>
      <w:r>
        <w:rPr>
          <w:rFonts w:ascii="仿宋_GB2312" w:hAnsi="仿宋_GB2312" w:eastAsia="仿宋_GB2312"/>
          <w:b w:val="0"/>
          <w:sz w:val="32"/>
        </w:rPr>
        <w:t>年初预算数78.56万元，决算数62.19万元，预决算差异率-20.84%，主要原因是：本年在职人员减少，年中调减人员经费，导致预决算存在差异。</w:t>
      </w:r>
    </w:p>
    <w:p w14:paraId="4FD5A4C3">
      <w:pPr>
        <w:spacing w:line="640" w:lineRule="exact"/>
        <w:ind w:firstLine="640"/>
        <w:jc w:val="both"/>
        <w:outlineLvl w:val="2"/>
      </w:pPr>
      <w:r>
        <w:rPr>
          <w:rFonts w:ascii="黑体" w:hAnsi="黑体" w:eastAsia="黑体"/>
          <w:sz w:val="32"/>
        </w:rPr>
        <w:t>五、一般公共预算财政拨款支出决算情况说明</w:t>
      </w:r>
    </w:p>
    <w:p w14:paraId="388278F4">
      <w:pPr>
        <w:spacing w:line="640" w:lineRule="exact"/>
        <w:ind w:firstLine="640"/>
        <w:jc w:val="both"/>
        <w:outlineLvl w:val="3"/>
      </w:pPr>
      <w:r>
        <w:rPr>
          <w:rFonts w:ascii="楷体_GB2312" w:hAnsi="楷体_GB2312" w:eastAsia="楷体_GB2312"/>
          <w:b/>
          <w:sz w:val="32"/>
        </w:rPr>
        <w:t>（一）一般公共预算财政拨款支出决算总体情况</w:t>
      </w:r>
    </w:p>
    <w:p w14:paraId="186BAC3F">
      <w:pPr>
        <w:spacing w:line="580" w:lineRule="exact"/>
        <w:ind w:firstLine="640"/>
        <w:jc w:val="both"/>
      </w:pPr>
      <w:r>
        <w:rPr>
          <w:rFonts w:ascii="仿宋_GB2312" w:hAnsi="仿宋_GB2312" w:eastAsia="仿宋_GB2312"/>
          <w:b/>
          <w:sz w:val="32"/>
        </w:rPr>
        <w:t>2024年度一般公共预算财政拨款支出62.19万元，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减少14.17万元，下降18.56%，主要原因是：一是本年在职人员减少，相关人员经费较上年减少；二是上年补发以前年度绩效工资以及13个月工资和优秀奖励金，本年无此经费支出。</w:t>
      </w:r>
      <w:r>
        <w:rPr>
          <w:rFonts w:ascii="仿宋_GB2312" w:hAnsi="仿宋_GB2312" w:eastAsia="仿宋_GB2312"/>
          <w:b/>
          <w:sz w:val="32"/>
        </w:rPr>
        <w:t>与年初预算相比,</w:t>
      </w:r>
      <w:r>
        <w:rPr>
          <w:rFonts w:ascii="仿宋_GB2312" w:hAnsi="仿宋_GB2312" w:eastAsia="仿宋_GB2312"/>
          <w:b w:val="0"/>
          <w:sz w:val="32"/>
        </w:rPr>
        <w:t>年初预算数78.56万元，决算数62.19万元，预决算差异率-20.84%，主要原因是：本年在职人员减少，年中调减人员经费，导致预决算存在差异。</w:t>
      </w:r>
    </w:p>
    <w:p w14:paraId="69B919A3">
      <w:pPr>
        <w:spacing w:line="640" w:lineRule="exact"/>
        <w:ind w:firstLine="640"/>
        <w:jc w:val="both"/>
        <w:outlineLvl w:val="3"/>
      </w:pPr>
      <w:r>
        <w:rPr>
          <w:rFonts w:ascii="楷体_GB2312" w:hAnsi="楷体_GB2312" w:eastAsia="楷体_GB2312"/>
          <w:b/>
          <w:sz w:val="32"/>
        </w:rPr>
        <w:t>（二）一般公共预算财政拨款支出决算结构情况</w:t>
      </w:r>
    </w:p>
    <w:p w14:paraId="1479BB95">
      <w:pPr>
        <w:spacing w:line="580" w:lineRule="exact"/>
        <w:ind w:firstLine="640"/>
        <w:jc w:val="both"/>
      </w:pPr>
      <w:r>
        <w:rPr>
          <w:rFonts w:ascii="仿宋_GB2312" w:hAnsi="仿宋_GB2312" w:eastAsia="仿宋_GB2312"/>
          <w:b w:val="0"/>
          <w:sz w:val="32"/>
        </w:rPr>
        <w:t>1.一般公共服务支出(类)46.40万元,占74.61%。</w:t>
      </w:r>
    </w:p>
    <w:p w14:paraId="6CFC36A6">
      <w:pPr>
        <w:spacing w:line="580" w:lineRule="exact"/>
        <w:ind w:firstLine="640"/>
        <w:jc w:val="both"/>
      </w:pPr>
      <w:r>
        <w:rPr>
          <w:rFonts w:ascii="仿宋_GB2312" w:hAnsi="仿宋_GB2312" w:eastAsia="仿宋_GB2312"/>
          <w:b w:val="0"/>
          <w:sz w:val="32"/>
        </w:rPr>
        <w:t>2.社会保障和就业支出(类)6.98万元,占11.22%。</w:t>
      </w:r>
    </w:p>
    <w:p w14:paraId="6C6878D6">
      <w:pPr>
        <w:spacing w:line="580" w:lineRule="exact"/>
        <w:ind w:firstLine="640"/>
        <w:jc w:val="both"/>
      </w:pPr>
      <w:r>
        <w:rPr>
          <w:rFonts w:ascii="仿宋_GB2312" w:hAnsi="仿宋_GB2312" w:eastAsia="仿宋_GB2312"/>
          <w:b w:val="0"/>
          <w:sz w:val="32"/>
        </w:rPr>
        <w:t>3.卫生健康支出(类)3.16万元,占5.08%。</w:t>
      </w:r>
    </w:p>
    <w:p w14:paraId="1BED45E8">
      <w:pPr>
        <w:spacing w:line="580" w:lineRule="exact"/>
        <w:ind w:firstLine="640"/>
        <w:jc w:val="both"/>
      </w:pPr>
      <w:r>
        <w:rPr>
          <w:rFonts w:ascii="仿宋_GB2312" w:hAnsi="仿宋_GB2312" w:eastAsia="仿宋_GB2312"/>
          <w:b w:val="0"/>
          <w:sz w:val="32"/>
        </w:rPr>
        <w:t>4.住房保障支出(类)5.66万元,占9.10%。</w:t>
      </w:r>
    </w:p>
    <w:p w14:paraId="046350EC">
      <w:pPr>
        <w:spacing w:line="640" w:lineRule="exact"/>
        <w:ind w:firstLine="640"/>
        <w:jc w:val="both"/>
        <w:outlineLvl w:val="3"/>
      </w:pPr>
      <w:r>
        <w:rPr>
          <w:rFonts w:ascii="楷体_GB2312" w:hAnsi="楷体_GB2312" w:eastAsia="楷体_GB2312"/>
          <w:b/>
          <w:sz w:val="32"/>
        </w:rPr>
        <w:t>（三）一般公共预算财政拨款支出决算具体情况</w:t>
      </w:r>
    </w:p>
    <w:p w14:paraId="7F2BD768">
      <w:pPr>
        <w:spacing w:line="580" w:lineRule="exact"/>
        <w:ind w:firstLine="640"/>
        <w:jc w:val="both"/>
      </w:pPr>
      <w:r>
        <w:rPr>
          <w:rFonts w:ascii="仿宋_GB2312" w:hAnsi="仿宋_GB2312" w:eastAsia="仿宋_GB2312"/>
          <w:b w:val="0"/>
          <w:sz w:val="32"/>
        </w:rPr>
        <w:t>1.一般公共服务支出(类)档案事务(款)档案馆(项):支出决算数为46.40万元，比上年决算减少15.11万元，下降24.57%,主要原因是：一是本年在职人员减少，相关人员经费较上年减少；二是上年补发以前年度绩效工资以及13个月工资和优秀奖励金，本年无此经费支出。</w:t>
      </w:r>
    </w:p>
    <w:p w14:paraId="5A60E237">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6.98万元，比上年决算增加0.24万元，增长3.56%,主要原因是：本年在职人员工资基数调增，养老缴费基数上涨，相应支出增加。</w:t>
      </w:r>
    </w:p>
    <w:p w14:paraId="47DF1BCA">
      <w:pPr>
        <w:spacing w:line="580" w:lineRule="exact"/>
        <w:ind w:firstLine="640"/>
        <w:jc w:val="both"/>
      </w:pPr>
      <w:r>
        <w:rPr>
          <w:rFonts w:ascii="仿宋_GB2312" w:hAnsi="仿宋_GB2312" w:eastAsia="仿宋_GB2312"/>
          <w:b w:val="0"/>
          <w:sz w:val="32"/>
        </w:rPr>
        <w:t>3.卫生健康支出(类)行政事业单位医疗(款)事业单位医疗(项):支出决算数为3.16万元，比上年决算增加0.11万元，增长3.61%,主要原因是：本年在职人员工资基数调增，医疗缴费基数上涨，相应支出增加。</w:t>
      </w:r>
    </w:p>
    <w:p w14:paraId="46EA10F0">
      <w:pPr>
        <w:spacing w:line="580" w:lineRule="exact"/>
        <w:ind w:firstLine="640"/>
        <w:jc w:val="both"/>
      </w:pPr>
      <w:r>
        <w:rPr>
          <w:rFonts w:ascii="仿宋_GB2312" w:hAnsi="仿宋_GB2312" w:eastAsia="仿宋_GB2312"/>
          <w:b w:val="0"/>
          <w:sz w:val="32"/>
        </w:rPr>
        <w:t>4.住房保障支出(类)住房改革支出(款)住房公积金(项):支出决算数为5.66万元，比上年决算增加0.60万元，增长11.86%,主要原因是：本年在职人员工资基数调增，公积金缴费基数上涨，相应支出增加。</w:t>
      </w:r>
    </w:p>
    <w:p w14:paraId="6F6EDA8B">
      <w:pPr>
        <w:spacing w:line="640" w:lineRule="exact"/>
        <w:ind w:firstLine="640"/>
        <w:jc w:val="both"/>
        <w:outlineLvl w:val="2"/>
      </w:pPr>
      <w:r>
        <w:rPr>
          <w:rFonts w:ascii="黑体" w:hAnsi="黑体" w:eastAsia="黑体"/>
          <w:sz w:val="32"/>
        </w:rPr>
        <w:t>六、一般公共预算财政拨款基本支出决算情况说明</w:t>
      </w:r>
    </w:p>
    <w:p w14:paraId="73576AA8">
      <w:pPr>
        <w:spacing w:line="580" w:lineRule="exact"/>
        <w:ind w:firstLine="640"/>
        <w:jc w:val="both"/>
      </w:pPr>
      <w:r>
        <w:rPr>
          <w:rFonts w:ascii="仿宋_GB2312" w:hAnsi="仿宋_GB2312" w:eastAsia="仿宋_GB2312"/>
          <w:b w:val="0"/>
          <w:sz w:val="32"/>
        </w:rPr>
        <w:t>2024年度一般公共预算财政拨款基本支出62.19万元，其中：</w:t>
      </w:r>
      <w:r>
        <w:rPr>
          <w:rFonts w:ascii="仿宋_GB2312" w:hAnsi="仿宋_GB2312" w:eastAsia="仿宋_GB2312"/>
          <w:b/>
          <w:sz w:val="32"/>
        </w:rPr>
        <w:t>人员经费61.01万元，</w:t>
      </w:r>
      <w:r>
        <w:rPr>
          <w:rFonts w:ascii="仿宋_GB2312" w:hAnsi="仿宋_GB2312" w:eastAsia="仿宋_GB2312"/>
          <w:b w:val="0"/>
          <w:sz w:val="32"/>
        </w:rPr>
        <w:t>包括：基本工资、津贴补贴、奖金、机关事业单位基本养老保险缴费、职工基本医疗保险缴费、其他社会保障缴费、住房公积金。</w:t>
      </w:r>
    </w:p>
    <w:p w14:paraId="72ADFA33">
      <w:pPr>
        <w:spacing w:line="580" w:lineRule="exact"/>
        <w:ind w:firstLine="640"/>
        <w:jc w:val="both"/>
      </w:pPr>
      <w:r>
        <w:rPr>
          <w:rFonts w:ascii="仿宋_GB2312" w:hAnsi="仿宋_GB2312" w:eastAsia="仿宋_GB2312"/>
          <w:b/>
          <w:sz w:val="32"/>
        </w:rPr>
        <w:t>公用经费1.18万元，</w:t>
      </w:r>
      <w:r>
        <w:rPr>
          <w:rFonts w:ascii="仿宋_GB2312" w:hAnsi="仿宋_GB2312" w:eastAsia="仿宋_GB2312"/>
          <w:b w:val="0"/>
          <w:sz w:val="32"/>
        </w:rPr>
        <w:t>包括：办公费、电费。</w:t>
      </w:r>
    </w:p>
    <w:p w14:paraId="428CBB02">
      <w:pPr>
        <w:spacing w:line="640" w:lineRule="exact"/>
        <w:ind w:firstLine="640"/>
        <w:jc w:val="both"/>
        <w:outlineLvl w:val="2"/>
      </w:pPr>
      <w:r>
        <w:rPr>
          <w:rFonts w:ascii="黑体" w:hAnsi="黑体" w:eastAsia="黑体"/>
          <w:sz w:val="32"/>
        </w:rPr>
        <w:t>七、政府性基金预算财政拨款收入支出决算情况说明</w:t>
      </w:r>
    </w:p>
    <w:p w14:paraId="7FA0094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35F8E16">
      <w:pPr>
        <w:spacing w:line="640" w:lineRule="exact"/>
        <w:ind w:firstLine="640"/>
        <w:jc w:val="both"/>
        <w:outlineLvl w:val="2"/>
      </w:pPr>
      <w:r>
        <w:rPr>
          <w:rFonts w:ascii="黑体" w:hAnsi="黑体" w:eastAsia="黑体"/>
          <w:sz w:val="32"/>
        </w:rPr>
        <w:t>八、国有资本经营预算财政拨款收入支出决算情况说明</w:t>
      </w:r>
    </w:p>
    <w:p w14:paraId="3465EC6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4644C49">
      <w:pPr>
        <w:spacing w:line="640" w:lineRule="exact"/>
        <w:ind w:firstLine="640"/>
        <w:jc w:val="both"/>
        <w:outlineLvl w:val="2"/>
      </w:pPr>
      <w:r>
        <w:rPr>
          <w:rFonts w:ascii="黑体" w:hAnsi="黑体" w:eastAsia="黑体"/>
          <w:sz w:val="32"/>
        </w:rPr>
        <w:t>九、财政拨款“三公”经费支出决算情况说明</w:t>
      </w:r>
    </w:p>
    <w:p w14:paraId="4370126B">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9FD87DC">
      <w:pPr>
        <w:spacing w:line="580" w:lineRule="exact"/>
        <w:ind w:firstLine="640"/>
        <w:jc w:val="both"/>
      </w:pPr>
      <w:r>
        <w:rPr>
          <w:rFonts w:ascii="仿宋_GB2312" w:hAnsi="仿宋_GB2312" w:eastAsia="仿宋_GB2312"/>
          <w:b/>
          <w:sz w:val="32"/>
        </w:rPr>
        <w:t>具体情况如下：</w:t>
      </w:r>
    </w:p>
    <w:p w14:paraId="4153FDD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8B8D1DF">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差异车辆2021年底已申报固定资产报废，待核销处理</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本年未投入使用</w:t>
      </w:r>
      <w:r>
        <w:rPr>
          <w:rFonts w:ascii="仿宋_GB2312" w:hAnsi="仿宋_GB2312" w:eastAsia="仿宋_GB2312"/>
          <w:b w:val="0"/>
          <w:sz w:val="32"/>
        </w:rPr>
        <w:t>。</w:t>
      </w:r>
    </w:p>
    <w:p w14:paraId="177D91C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5ADF39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0613076">
      <w:pPr>
        <w:spacing w:line="640" w:lineRule="exact"/>
        <w:ind w:firstLine="640"/>
        <w:jc w:val="both"/>
        <w:outlineLvl w:val="2"/>
      </w:pPr>
      <w:r>
        <w:rPr>
          <w:rFonts w:ascii="黑体" w:hAnsi="黑体" w:eastAsia="黑体"/>
          <w:sz w:val="32"/>
        </w:rPr>
        <w:t>十、其他重要事项的情况说明</w:t>
      </w:r>
    </w:p>
    <w:p w14:paraId="131E5B71">
      <w:pPr>
        <w:spacing w:line="640" w:lineRule="exact"/>
        <w:ind w:firstLine="640"/>
        <w:jc w:val="both"/>
        <w:outlineLvl w:val="3"/>
      </w:pPr>
      <w:r>
        <w:rPr>
          <w:rFonts w:ascii="楷体_GB2312" w:hAnsi="楷体_GB2312" w:eastAsia="楷体_GB2312"/>
          <w:b/>
          <w:sz w:val="32"/>
        </w:rPr>
        <w:t>（一）机关运行经费及公用经费支出情况</w:t>
      </w:r>
    </w:p>
    <w:p w14:paraId="4B288B77">
      <w:pPr>
        <w:spacing w:line="580" w:lineRule="exact"/>
        <w:ind w:firstLine="640"/>
        <w:jc w:val="both"/>
      </w:pPr>
      <w:r>
        <w:rPr>
          <w:rFonts w:ascii="仿宋_GB2312" w:hAnsi="仿宋_GB2312" w:eastAsia="仿宋_GB2312"/>
          <w:b w:val="0"/>
          <w:sz w:val="32"/>
        </w:rPr>
        <w:t>2024年度且末县档案馆（事业单位）公用经费支出1.18万元，比上年减少3.41万元，下降74.29%，主要原因是：本年办公费、维修费减少，导致公用经费支出较上年减少。</w:t>
      </w:r>
    </w:p>
    <w:p w14:paraId="51F9EBF3">
      <w:pPr>
        <w:spacing w:line="640" w:lineRule="exact"/>
        <w:ind w:firstLine="640"/>
        <w:jc w:val="both"/>
        <w:outlineLvl w:val="3"/>
      </w:pPr>
      <w:r>
        <w:rPr>
          <w:rFonts w:ascii="楷体_GB2312" w:hAnsi="楷体_GB2312" w:eastAsia="楷体_GB2312"/>
          <w:b/>
          <w:sz w:val="32"/>
        </w:rPr>
        <w:t>（二）政府采购情况</w:t>
      </w:r>
    </w:p>
    <w:p w14:paraId="5BDB6538">
      <w:pPr>
        <w:spacing w:line="580" w:lineRule="exact"/>
        <w:ind w:firstLine="640"/>
        <w:jc w:val="both"/>
      </w:pPr>
      <w:r>
        <w:rPr>
          <w:rFonts w:ascii="仿宋_GB2312" w:hAnsi="仿宋_GB2312" w:eastAsia="仿宋_GB2312"/>
          <w:b w:val="0"/>
          <w:sz w:val="32"/>
        </w:rPr>
        <w:t>2024年度政府采购支出总额0.63万元，其中：政府采购货物支出0.45万元、政府采购工程支出0.00万元、政府采购服务支出0.19万元。</w:t>
      </w:r>
    </w:p>
    <w:p w14:paraId="67B3444A">
      <w:pPr>
        <w:spacing w:line="580" w:lineRule="exact"/>
        <w:ind w:firstLine="640"/>
        <w:jc w:val="both"/>
      </w:pPr>
      <w:r>
        <w:rPr>
          <w:rFonts w:ascii="仿宋_GB2312" w:hAnsi="仿宋_GB2312" w:eastAsia="仿宋_GB2312"/>
          <w:b w:val="0"/>
          <w:sz w:val="32"/>
        </w:rPr>
        <w:t>授予中小企业合同金额0.63万元，占政府采购支出总额的100.00%，其中：授予小微企业合同金额0.63万元，占政府采购支出总额的100.00%。</w:t>
      </w:r>
    </w:p>
    <w:p w14:paraId="446E7316">
      <w:pPr>
        <w:spacing w:line="640" w:lineRule="exact"/>
        <w:ind w:firstLine="640"/>
        <w:jc w:val="both"/>
        <w:outlineLvl w:val="3"/>
      </w:pPr>
      <w:r>
        <w:rPr>
          <w:rFonts w:ascii="楷体_GB2312" w:hAnsi="楷体_GB2312" w:eastAsia="楷体_GB2312"/>
          <w:b/>
          <w:sz w:val="32"/>
        </w:rPr>
        <w:t>（三）国有资产占用情况说明</w:t>
      </w:r>
    </w:p>
    <w:p w14:paraId="3BC427E1">
      <w:pPr>
        <w:spacing w:line="580" w:lineRule="exact"/>
        <w:ind w:firstLine="640"/>
        <w:jc w:val="both"/>
      </w:pPr>
      <w:r>
        <w:rPr>
          <w:rFonts w:ascii="仿宋_GB2312" w:hAnsi="仿宋_GB2312" w:eastAsia="仿宋_GB2312"/>
          <w:b w:val="0"/>
          <w:sz w:val="32"/>
        </w:rPr>
        <w:t>截至2024年12月31日，房屋1,672.75平方米，价值33.02万元。车辆1辆，价值11.80万元，其中：副部（省）级及以上领导用车0辆、主要负责人用车0辆、机要通信用车0辆、应急保障用车0辆、执法执勤用车0辆、特种专业技术用车0辆、离退休干部服务用车0辆、其他用车1辆，其他用车主要是：单位业务用车。单价100万元（含）以上设备（不含车辆）0台（套）。</w:t>
      </w:r>
    </w:p>
    <w:p w14:paraId="3D0DCDD7">
      <w:pPr>
        <w:spacing w:line="640" w:lineRule="exact"/>
        <w:ind w:firstLine="640"/>
        <w:jc w:val="both"/>
        <w:outlineLvl w:val="2"/>
      </w:pPr>
      <w:r>
        <w:rPr>
          <w:rFonts w:ascii="黑体" w:hAnsi="黑体" w:eastAsia="黑体"/>
          <w:sz w:val="32"/>
        </w:rPr>
        <w:t>十一、预算绩效的情况说明</w:t>
      </w:r>
    </w:p>
    <w:p w14:paraId="02D304A5">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2024年度无预算绩效项目。发现的问题及原因：本单位2024年度无预算绩效项目。下一步改进措施：本单位2024年度无预算绩效项目。</w:t>
      </w:r>
    </w:p>
    <w:p w14:paraId="0A9617DE">
      <w:r>
        <w:br w:type="page"/>
      </w:r>
    </w:p>
    <w:p w14:paraId="4A073EEC">
      <w:pPr>
        <w:spacing w:line="640" w:lineRule="exact"/>
        <w:ind w:firstLine="640"/>
        <w:jc w:val="both"/>
        <w:outlineLvl w:val="2"/>
      </w:pPr>
      <w:r>
        <w:rPr>
          <w:rFonts w:ascii="黑体" w:hAnsi="黑体" w:eastAsia="黑体"/>
          <w:sz w:val="32"/>
        </w:rPr>
        <w:t>十二、其他需说明的事项</w:t>
      </w:r>
    </w:p>
    <w:p w14:paraId="70B1DE28">
      <w:pPr>
        <w:spacing w:line="580" w:lineRule="exact"/>
        <w:ind w:firstLine="640"/>
        <w:jc w:val="both"/>
      </w:pPr>
      <w:r>
        <w:rPr>
          <w:rFonts w:ascii="仿宋_GB2312" w:hAnsi="仿宋_GB2312" w:eastAsia="仿宋_GB2312"/>
          <w:b w:val="0"/>
          <w:sz w:val="32"/>
        </w:rPr>
        <w:t>本年度本单位整体绩效自评表由主管部门编报并公开。</w:t>
      </w:r>
    </w:p>
    <w:p w14:paraId="0B8DD2F8">
      <w:r>
        <w:br w:type="page"/>
      </w:r>
    </w:p>
    <w:p w14:paraId="15CA1C5E">
      <w:pPr>
        <w:spacing w:line="240" w:lineRule="auto"/>
        <w:jc w:val="center"/>
        <w:outlineLvl w:val="1"/>
      </w:pPr>
      <w:r>
        <w:rPr>
          <w:rFonts w:ascii="黑体" w:hAnsi="黑体" w:eastAsia="黑体"/>
          <w:sz w:val="32"/>
        </w:rPr>
        <w:t>第三部分 专业名词解释</w:t>
      </w:r>
    </w:p>
    <w:p w14:paraId="4C38DB2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368A18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3392D1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6DF50A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F87AA1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54BB18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28F6E2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787F66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5AC0F6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7DAC93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F635E9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FEBE6E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FCE4A3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68F428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0F24D99">
      <w:r>
        <w:br w:type="page"/>
      </w:r>
    </w:p>
    <w:p w14:paraId="1128D5FE">
      <w:pPr>
        <w:spacing w:line="240" w:lineRule="auto"/>
        <w:jc w:val="center"/>
        <w:outlineLvl w:val="1"/>
      </w:pPr>
      <w:r>
        <w:rPr>
          <w:rFonts w:ascii="黑体" w:hAnsi="黑体" w:eastAsia="黑体"/>
          <w:sz w:val="32"/>
        </w:rPr>
        <w:t>第四部分 部门决算报表（见附表）</w:t>
      </w:r>
    </w:p>
    <w:p w14:paraId="7D91962E">
      <w:pPr>
        <w:spacing w:line="240" w:lineRule="auto"/>
        <w:ind w:firstLine="640"/>
        <w:jc w:val="both"/>
      </w:pPr>
      <w:r>
        <w:rPr>
          <w:rFonts w:ascii="仿宋_GB2312" w:hAnsi="仿宋_GB2312" w:eastAsia="仿宋_GB2312"/>
          <w:b w:val="0"/>
          <w:sz w:val="32"/>
        </w:rPr>
        <w:t>一、《收入支出决算总表》</w:t>
      </w:r>
    </w:p>
    <w:p w14:paraId="2F90061B">
      <w:pPr>
        <w:spacing w:line="240" w:lineRule="auto"/>
        <w:ind w:firstLine="640"/>
        <w:jc w:val="both"/>
      </w:pPr>
      <w:r>
        <w:rPr>
          <w:rFonts w:ascii="仿宋_GB2312" w:hAnsi="仿宋_GB2312" w:eastAsia="仿宋_GB2312"/>
          <w:b w:val="0"/>
          <w:sz w:val="32"/>
        </w:rPr>
        <w:t>二、《收入决算表》</w:t>
      </w:r>
    </w:p>
    <w:p w14:paraId="4AB4D162">
      <w:pPr>
        <w:spacing w:line="240" w:lineRule="auto"/>
        <w:ind w:firstLine="640"/>
        <w:jc w:val="both"/>
      </w:pPr>
      <w:r>
        <w:rPr>
          <w:rFonts w:ascii="仿宋_GB2312" w:hAnsi="仿宋_GB2312" w:eastAsia="仿宋_GB2312"/>
          <w:b w:val="0"/>
          <w:sz w:val="32"/>
        </w:rPr>
        <w:t>三、《支出决算表》</w:t>
      </w:r>
    </w:p>
    <w:p w14:paraId="0CC96A1D">
      <w:pPr>
        <w:spacing w:line="240" w:lineRule="auto"/>
        <w:ind w:firstLine="640"/>
        <w:jc w:val="both"/>
      </w:pPr>
      <w:r>
        <w:rPr>
          <w:rFonts w:ascii="仿宋_GB2312" w:hAnsi="仿宋_GB2312" w:eastAsia="仿宋_GB2312"/>
          <w:b w:val="0"/>
          <w:sz w:val="32"/>
        </w:rPr>
        <w:t>四、《财政拨款收入支出决算总表》</w:t>
      </w:r>
    </w:p>
    <w:p w14:paraId="13D4898A">
      <w:pPr>
        <w:spacing w:line="240" w:lineRule="auto"/>
        <w:ind w:firstLine="640"/>
        <w:jc w:val="both"/>
      </w:pPr>
      <w:r>
        <w:rPr>
          <w:rFonts w:ascii="仿宋_GB2312" w:hAnsi="仿宋_GB2312" w:eastAsia="仿宋_GB2312"/>
          <w:b w:val="0"/>
          <w:sz w:val="32"/>
        </w:rPr>
        <w:t>五、《一般公共预算财政拨款支出决算表》</w:t>
      </w:r>
    </w:p>
    <w:p w14:paraId="3319CD26">
      <w:pPr>
        <w:spacing w:line="240" w:lineRule="auto"/>
        <w:ind w:firstLine="640"/>
        <w:jc w:val="both"/>
      </w:pPr>
      <w:r>
        <w:rPr>
          <w:rFonts w:ascii="仿宋_GB2312" w:hAnsi="仿宋_GB2312" w:eastAsia="仿宋_GB2312"/>
          <w:b w:val="0"/>
          <w:sz w:val="32"/>
        </w:rPr>
        <w:t>六、《一般公共预算财政拨款基本支出决算表》</w:t>
      </w:r>
    </w:p>
    <w:p w14:paraId="273382EE">
      <w:pPr>
        <w:spacing w:line="240" w:lineRule="auto"/>
        <w:ind w:firstLine="640"/>
        <w:jc w:val="both"/>
      </w:pPr>
      <w:r>
        <w:rPr>
          <w:rFonts w:ascii="仿宋_GB2312" w:hAnsi="仿宋_GB2312" w:eastAsia="仿宋_GB2312"/>
          <w:b w:val="0"/>
          <w:sz w:val="32"/>
        </w:rPr>
        <w:t>七、《政府性基金预算财政拨款收入支出决算表》</w:t>
      </w:r>
    </w:p>
    <w:p w14:paraId="44296506">
      <w:pPr>
        <w:spacing w:line="240" w:lineRule="auto"/>
        <w:ind w:firstLine="640"/>
        <w:jc w:val="both"/>
      </w:pPr>
      <w:r>
        <w:rPr>
          <w:rFonts w:ascii="仿宋_GB2312" w:hAnsi="仿宋_GB2312" w:eastAsia="仿宋_GB2312"/>
          <w:b w:val="0"/>
          <w:sz w:val="32"/>
        </w:rPr>
        <w:t>八、《国有资本经营预算财政拨款收入支出决算表》</w:t>
      </w:r>
    </w:p>
    <w:p w14:paraId="4967C84D">
      <w:pPr>
        <w:spacing w:line="240" w:lineRule="auto"/>
        <w:ind w:firstLine="640"/>
        <w:jc w:val="both"/>
      </w:pPr>
      <w:r>
        <w:rPr>
          <w:rFonts w:ascii="仿宋_GB2312" w:hAnsi="仿宋_GB2312" w:eastAsia="仿宋_GB2312"/>
          <w:b w:val="0"/>
          <w:sz w:val="32"/>
        </w:rPr>
        <w:t>九、《财政拨款“三公”经费支出决算表》</w:t>
      </w:r>
    </w:p>
    <w:p w14:paraId="08FA5FFE">
      <w:pPr>
        <w:spacing w:line="240" w:lineRule="auto"/>
        <w:ind w:firstLine="640"/>
        <w:jc w:val="both"/>
      </w:pPr>
    </w:p>
    <w:p w14:paraId="5B1EA77F">
      <w:pPr>
        <w:spacing w:line="240" w:lineRule="auto"/>
        <w:ind w:firstLine="640"/>
        <w:jc w:val="both"/>
      </w:pPr>
    </w:p>
    <w:p w14:paraId="14E4CCA0">
      <w:pPr>
        <w:spacing w:line="240" w:lineRule="auto"/>
        <w:ind w:firstLine="640"/>
        <w:jc w:val="both"/>
      </w:pPr>
    </w:p>
    <w:p w14:paraId="4E137F39">
      <w:pPr>
        <w:spacing w:line="240" w:lineRule="auto"/>
        <w:ind w:firstLine="640"/>
        <w:jc w:val="both"/>
      </w:pPr>
    </w:p>
    <w:p w14:paraId="3FCEF21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33D69"/>
    <w:rsid w:val="0A3C58E8"/>
    <w:rsid w:val="0A7B4867"/>
    <w:rsid w:val="0B440893"/>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4B5684"/>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5160</Words>
  <Characters>5738</Characters>
  <Lines>0</Lines>
  <Paragraphs>0</Paragraphs>
  <TotalTime>2</TotalTime>
  <ScaleCrop>false</ScaleCrop>
  <LinksUpToDate>false</LinksUpToDate>
  <CharactersWithSpaces>5748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2025-09-26T10:23:28Z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