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中共且末县委员会政法委员会本级2024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A604F56">
      <w:r>
        <w:br w:type="page"/>
      </w:r>
    </w:p>
    <w:p w14:paraId="7F7A3F78">
      <w:pPr>
        <w:spacing w:line="640" w:lineRule="exact"/>
        <w:jc w:val="center"/>
        <w:outlineLvl w:val="1"/>
      </w:pPr>
      <w:r>
        <w:rPr>
          <w:rFonts w:ascii="黑体" w:hAnsi="黑体" w:eastAsia="黑体"/>
          <w:sz w:val="32"/>
        </w:rPr>
        <w:t>第一部分 部门概况</w:t>
      </w:r>
    </w:p>
    <w:p w14:paraId="042BC115">
      <w:pPr>
        <w:spacing w:line="640" w:lineRule="exact"/>
        <w:ind w:firstLine="640"/>
        <w:jc w:val="both"/>
        <w:outlineLvl w:val="2"/>
      </w:pPr>
      <w:r>
        <w:rPr>
          <w:rFonts w:ascii="黑体" w:hAnsi="黑体" w:eastAsia="黑体"/>
          <w:sz w:val="32"/>
        </w:rPr>
        <w:t>一、主要职能</w:t>
      </w:r>
    </w:p>
    <w:p w14:paraId="621C5450">
      <w:pPr>
        <w:spacing w:line="580" w:lineRule="exact"/>
        <w:ind w:firstLine="640"/>
        <w:jc w:val="both"/>
      </w:pPr>
      <w:r>
        <w:rPr>
          <w:rFonts w:ascii="仿宋_GB2312" w:hAnsi="仿宋_GB2312" w:eastAsia="仿宋_GB2312"/>
          <w:sz w:val="32"/>
        </w:rPr>
        <w:t>（一）在县党委统一领导下，深入贯彻习近平新时代中国特色社会主义思想，深入贯彻党的路线方针政策和决策部署，统一政法各部门思想和行动，坚持党对政法工作的绝对领导，坚决维护党中央权威和集中统一领导。</w:t>
      </w:r>
    </w:p>
    <w:p w14:paraId="19C38C29">
      <w:pPr>
        <w:spacing w:line="580" w:lineRule="exact"/>
        <w:ind w:firstLine="640"/>
        <w:jc w:val="both"/>
      </w:pPr>
      <w:r>
        <w:rPr>
          <w:rFonts w:ascii="仿宋_GB2312" w:hAnsi="仿宋_GB2312" w:eastAsia="仿宋_GB2312"/>
          <w:sz w:val="32"/>
        </w:rPr>
        <w:t>（二）深入贯彻党中央、自治区、自治州党委和县党委的工作要求，对政法工作研究提出全局性部署，推进平安且末、法治且末建设，加强队伍建设，深化智能化建设，坚决维护国家政权安全、确保社会大局稳定、促进社会公平正义、保障人民安居乐业。</w:t>
      </w:r>
    </w:p>
    <w:p w14:paraId="1516617E">
      <w:pPr>
        <w:spacing w:line="580" w:lineRule="exact"/>
        <w:ind w:firstLine="640"/>
        <w:jc w:val="both"/>
      </w:pPr>
      <w:r>
        <w:rPr>
          <w:rFonts w:ascii="仿宋_GB2312" w:hAnsi="仿宋_GB2312" w:eastAsia="仿宋_GB2312"/>
          <w:sz w:val="32"/>
        </w:rPr>
        <w:t>（三）了解掌握和分析研判政法工作情况动态，分析社会稳定形势，创新完善多部门参与的综治</w:t>
      </w:r>
      <w:r>
        <w:rPr>
          <w:rFonts w:hint="eastAsia" w:ascii="仿宋_GB2312" w:hAnsi="仿宋_GB2312" w:eastAsia="仿宋_GB2312"/>
          <w:sz w:val="32"/>
          <w:lang w:eastAsia="zh-CN"/>
        </w:rPr>
        <w:t>WW</w:t>
      </w:r>
      <w:r>
        <w:rPr>
          <w:rFonts w:ascii="仿宋_GB2312" w:hAnsi="仿宋_GB2312" w:eastAsia="仿宋_GB2312"/>
          <w:sz w:val="32"/>
        </w:rPr>
        <w:t>工作机制，协调推动预防、化解影响稳定的社会矛盾和风险，协调应对和处置重大突发事件，指导协调流动人口服务管理。</w:t>
      </w:r>
    </w:p>
    <w:p w14:paraId="1F8156BE">
      <w:pPr>
        <w:spacing w:line="580" w:lineRule="exact"/>
        <w:ind w:firstLine="640"/>
        <w:jc w:val="both"/>
      </w:pPr>
      <w:r>
        <w:rPr>
          <w:rFonts w:ascii="仿宋_GB2312" w:hAnsi="仿宋_GB2312" w:eastAsia="仿宋_GB2312"/>
          <w:sz w:val="32"/>
        </w:rPr>
        <w:t>（四）加强对政法工作的督查，统筹协调社会治安综合治理、维护社会稳定、反邪教有关法律法规政策的实施工作。</w:t>
      </w:r>
    </w:p>
    <w:p w14:paraId="6B07A1C3">
      <w:pPr>
        <w:spacing w:line="580" w:lineRule="exact"/>
        <w:ind w:firstLine="640"/>
        <w:jc w:val="both"/>
      </w:pPr>
      <w:r>
        <w:rPr>
          <w:rFonts w:ascii="仿宋_GB2312" w:hAnsi="仿宋_GB2312" w:eastAsia="仿宋_GB2312"/>
          <w:sz w:val="32"/>
        </w:rPr>
        <w:t>（五）组织做好政法领域调查研究，研究拟定政法工作方针政策和重大措施，总结新经验、解决新问题，探索新形势下加强政法工作的新路子，及时向县党委提出建议。</w:t>
      </w:r>
    </w:p>
    <w:p w14:paraId="61A65896">
      <w:pPr>
        <w:spacing w:line="580" w:lineRule="exact"/>
        <w:ind w:firstLine="640"/>
        <w:jc w:val="both"/>
      </w:pPr>
      <w:r>
        <w:rPr>
          <w:rFonts w:ascii="仿宋_GB2312" w:hAnsi="仿宋_GB2312" w:eastAsia="仿宋_GB2312"/>
          <w:sz w:val="32"/>
        </w:rPr>
        <w:t>（六）掌握分析政法舆情动态，指导协调政法部门媒体网络宣传工作，指导政法部门做好涉及政法工作的重大宣传工作。</w:t>
      </w:r>
    </w:p>
    <w:p w14:paraId="226F3187">
      <w:pPr>
        <w:spacing w:line="580" w:lineRule="exact"/>
        <w:ind w:firstLine="640"/>
        <w:jc w:val="both"/>
      </w:pPr>
      <w:r>
        <w:rPr>
          <w:rFonts w:ascii="仿宋_GB2312" w:hAnsi="仿宋_GB2312" w:eastAsia="仿宋_GB2312"/>
          <w:sz w:val="32"/>
        </w:rPr>
        <w:t>（七）监督和支持政法各部门依法行使职权，指导和协调政法各部门密切配合，研究和协调重大、疑难案件，推进严格执法、公正司法。</w:t>
      </w:r>
    </w:p>
    <w:p w14:paraId="63F2ACBD">
      <w:pPr>
        <w:spacing w:line="580" w:lineRule="exact"/>
        <w:ind w:firstLine="640"/>
        <w:jc w:val="both"/>
      </w:pPr>
      <w:r>
        <w:rPr>
          <w:rFonts w:ascii="仿宋_GB2312" w:hAnsi="仿宋_GB2312" w:eastAsia="仿宋_GB2312"/>
          <w:sz w:val="32"/>
        </w:rPr>
        <w:t>（八）组织研究政法改革中带有方向性、倾向性和普遍性的重大问题，深化政法改革。</w:t>
      </w:r>
    </w:p>
    <w:p w14:paraId="3337D6E7">
      <w:pPr>
        <w:spacing w:line="580" w:lineRule="exact"/>
        <w:ind w:firstLine="640"/>
        <w:jc w:val="both"/>
      </w:pPr>
      <w:r>
        <w:rPr>
          <w:rFonts w:ascii="仿宋_GB2312" w:hAnsi="仿宋_GB2312" w:eastAsia="仿宋_GB2312"/>
          <w:sz w:val="32"/>
        </w:rPr>
        <w:t>（九）指导推动政法系统党的建设和政法队伍建设，代管且末法学会。</w:t>
      </w:r>
    </w:p>
    <w:p w14:paraId="7F11CC8B">
      <w:pPr>
        <w:spacing w:line="580" w:lineRule="exact"/>
        <w:ind w:firstLine="640"/>
        <w:jc w:val="both"/>
      </w:pPr>
      <w:r>
        <w:rPr>
          <w:rFonts w:ascii="仿宋_GB2312" w:hAnsi="仿宋_GB2312" w:eastAsia="仿宋_GB2312"/>
          <w:sz w:val="32"/>
        </w:rPr>
        <w:t>（十）承担本部门党的建设、党风廉政建设和反腐败、精神文明、维护稳定、“为民办实事”、综合治理、民族团结、“两个全覆盖”、安全生产、</w:t>
      </w:r>
      <w:r>
        <w:rPr>
          <w:rFonts w:hint="eastAsia" w:ascii="仿宋_GB2312" w:hAnsi="仿宋_GB2312" w:eastAsia="仿宋_GB2312"/>
          <w:sz w:val="32"/>
          <w:lang w:eastAsia="zh-CN"/>
        </w:rPr>
        <w:t>脱贫攻坚工作</w:t>
      </w:r>
      <w:r>
        <w:rPr>
          <w:rFonts w:ascii="仿宋_GB2312" w:hAnsi="仿宋_GB2312" w:eastAsia="仿宋_GB2312"/>
          <w:sz w:val="32"/>
        </w:rPr>
        <w:t>。</w:t>
      </w:r>
    </w:p>
    <w:p w14:paraId="43DCADE1">
      <w:pPr>
        <w:spacing w:line="580" w:lineRule="exact"/>
        <w:ind w:firstLine="640"/>
        <w:jc w:val="both"/>
      </w:pPr>
      <w:r>
        <w:rPr>
          <w:rFonts w:ascii="仿宋_GB2312" w:hAnsi="仿宋_GB2312" w:eastAsia="仿宋_GB2312"/>
          <w:sz w:val="32"/>
        </w:rPr>
        <w:t>（十一）完成县党委交办的其他任务。</w:t>
      </w:r>
    </w:p>
    <w:p w14:paraId="584DAF48">
      <w:pPr>
        <w:spacing w:line="640" w:lineRule="exact"/>
        <w:ind w:firstLine="640"/>
        <w:jc w:val="both"/>
        <w:outlineLvl w:val="2"/>
      </w:pPr>
      <w:r>
        <w:rPr>
          <w:rFonts w:ascii="黑体" w:hAnsi="黑体" w:eastAsia="黑体"/>
          <w:sz w:val="32"/>
        </w:rPr>
        <w:t>二、机构设置及人员情况</w:t>
      </w:r>
    </w:p>
    <w:p w14:paraId="21F81A86">
      <w:pPr>
        <w:spacing w:line="580" w:lineRule="exact"/>
        <w:ind w:firstLine="640"/>
        <w:jc w:val="both"/>
      </w:pPr>
      <w:r>
        <w:rPr>
          <w:rFonts w:ascii="仿宋_GB2312" w:hAnsi="仿宋_GB2312" w:eastAsia="仿宋_GB2312"/>
          <w:sz w:val="32"/>
        </w:rPr>
        <w:t>中共且末县委员会政法委员会本级2024年度，实有人数31人，其中：在职人员23人，减少1人；离休人员0人，增加0人；退休人员8人,增加1人。</w:t>
      </w:r>
    </w:p>
    <w:p w14:paraId="551C40A1">
      <w:pPr>
        <w:spacing w:line="580" w:lineRule="exact"/>
        <w:ind w:firstLine="640"/>
        <w:jc w:val="both"/>
      </w:pPr>
      <w:r>
        <w:rPr>
          <w:rFonts w:ascii="仿宋_GB2312" w:hAnsi="仿宋_GB2312" w:eastAsia="仿宋_GB2312"/>
          <w:sz w:val="32"/>
        </w:rPr>
        <w:t>中共且末县委员会政法委员会本级无下属预算单位，下设</w:t>
      </w:r>
      <w:r>
        <w:rPr>
          <w:rFonts w:hint="eastAsia" w:ascii="仿宋_GB2312" w:hAnsi="仿宋_GB2312" w:eastAsia="仿宋_GB2312"/>
          <w:sz w:val="32"/>
          <w:lang w:val="en-US" w:eastAsia="zh-CN"/>
        </w:rPr>
        <w:t>6</w:t>
      </w:r>
      <w:r>
        <w:rPr>
          <w:rFonts w:ascii="仿宋_GB2312" w:hAnsi="仿宋_GB2312" w:eastAsia="仿宋_GB2312"/>
          <w:sz w:val="32"/>
        </w:rPr>
        <w:t>个科室，分别是：综合办公室、政工宣教室、</w:t>
      </w:r>
      <w:r>
        <w:rPr>
          <w:rFonts w:hint="eastAsia" w:ascii="仿宋_GB2312" w:hAnsi="仿宋_GB2312" w:eastAsia="仿宋_GB2312"/>
          <w:sz w:val="32"/>
          <w:lang w:eastAsia="zh-CN"/>
        </w:rPr>
        <w:t>WW</w:t>
      </w:r>
      <w:r>
        <w:rPr>
          <w:rFonts w:ascii="仿宋_GB2312" w:hAnsi="仿宋_GB2312" w:eastAsia="仿宋_GB2312"/>
          <w:sz w:val="32"/>
        </w:rPr>
        <w:t>指导室、财务室、群众工作专班、扫黑工作专班。</w:t>
      </w:r>
    </w:p>
    <w:p w14:paraId="383E58A7">
      <w:r>
        <w:br w:type="page"/>
      </w:r>
    </w:p>
    <w:p w14:paraId="24C02FB4">
      <w:pPr>
        <w:spacing w:line="240" w:lineRule="auto"/>
        <w:jc w:val="center"/>
        <w:outlineLvl w:val="1"/>
      </w:pPr>
      <w:r>
        <w:rPr>
          <w:rFonts w:ascii="黑体" w:hAnsi="黑体" w:eastAsia="黑体"/>
          <w:sz w:val="32"/>
        </w:rPr>
        <w:t>第二部分 部门决算情况说明</w:t>
      </w:r>
    </w:p>
    <w:p w14:paraId="52B9FD9A">
      <w:pPr>
        <w:spacing w:line="640" w:lineRule="exact"/>
        <w:ind w:firstLine="640"/>
        <w:jc w:val="both"/>
        <w:outlineLvl w:val="2"/>
      </w:pPr>
      <w:r>
        <w:rPr>
          <w:rFonts w:ascii="黑体" w:hAnsi="黑体" w:eastAsia="黑体"/>
          <w:sz w:val="32"/>
        </w:rPr>
        <w:t>一、收入支出决算总体情况说明</w:t>
      </w:r>
    </w:p>
    <w:p w14:paraId="79A74CD7">
      <w:pPr>
        <w:spacing w:line="580" w:lineRule="exact"/>
        <w:ind w:firstLine="640"/>
        <w:jc w:val="both"/>
      </w:pPr>
      <w:r>
        <w:rPr>
          <w:rFonts w:ascii="仿宋_GB2312" w:hAnsi="仿宋_GB2312" w:eastAsia="仿宋_GB2312"/>
          <w:b/>
          <w:sz w:val="32"/>
        </w:rPr>
        <w:t>2024年度收入总计668.52万元，</w:t>
      </w:r>
      <w:r>
        <w:rPr>
          <w:rFonts w:ascii="仿宋_GB2312" w:hAnsi="仿宋_GB2312" w:eastAsia="仿宋_GB2312"/>
          <w:b w:val="0"/>
          <w:sz w:val="32"/>
        </w:rPr>
        <w:t>其中：本年收入合计658.59万元，使用非财政拨款结余（含专用结余）0.00万元，年初结转和结余9.93万元。</w:t>
      </w:r>
    </w:p>
    <w:p w14:paraId="22481AF3">
      <w:pPr>
        <w:spacing w:line="580" w:lineRule="exact"/>
        <w:ind w:firstLine="640"/>
        <w:jc w:val="both"/>
      </w:pPr>
      <w:r>
        <w:rPr>
          <w:rFonts w:ascii="仿宋_GB2312" w:hAnsi="仿宋_GB2312" w:eastAsia="仿宋_GB2312"/>
          <w:b/>
          <w:sz w:val="32"/>
        </w:rPr>
        <w:t>2024年度支出总计668.52万元，</w:t>
      </w:r>
      <w:r>
        <w:rPr>
          <w:rFonts w:ascii="仿宋_GB2312" w:hAnsi="仿宋_GB2312" w:eastAsia="仿宋_GB2312"/>
          <w:b w:val="0"/>
          <w:sz w:val="32"/>
        </w:rPr>
        <w:t>其中：本年支出合计666.01万元，结余分配0.00万元，年末结转和结余2.50万元。</w:t>
      </w:r>
    </w:p>
    <w:p w14:paraId="61A4AF64">
      <w:pPr>
        <w:spacing w:line="580" w:lineRule="exact"/>
        <w:ind w:firstLine="640"/>
        <w:jc w:val="both"/>
      </w:pPr>
      <w:r>
        <w:rPr>
          <w:rFonts w:ascii="仿宋_GB2312" w:hAnsi="仿宋_GB2312" w:eastAsia="仿宋_GB2312"/>
          <w:b w:val="0"/>
          <w:sz w:val="32"/>
        </w:rPr>
        <w:t>收入支出总体与上年相比，增加122.87万元，增长22.52%，主要原因是：本年增加化解历史债务电信公司和联通公司网络专线费和维保费项目。</w:t>
      </w:r>
    </w:p>
    <w:p w14:paraId="74945A88">
      <w:pPr>
        <w:spacing w:line="640" w:lineRule="exact"/>
        <w:ind w:firstLine="640"/>
        <w:jc w:val="both"/>
        <w:outlineLvl w:val="2"/>
      </w:pPr>
      <w:r>
        <w:rPr>
          <w:rFonts w:ascii="黑体" w:hAnsi="黑体" w:eastAsia="黑体"/>
          <w:sz w:val="32"/>
        </w:rPr>
        <w:t>二、收入决算情况说明</w:t>
      </w:r>
    </w:p>
    <w:p w14:paraId="3B684EB3">
      <w:pPr>
        <w:spacing w:line="580" w:lineRule="exact"/>
        <w:ind w:firstLine="640"/>
        <w:jc w:val="both"/>
      </w:pPr>
      <w:r>
        <w:rPr>
          <w:rFonts w:ascii="仿宋_GB2312" w:hAnsi="仿宋_GB2312" w:eastAsia="仿宋_GB2312"/>
          <w:b/>
          <w:sz w:val="32"/>
        </w:rPr>
        <w:t>本年收入658.59万元，</w:t>
      </w:r>
      <w:r>
        <w:rPr>
          <w:rFonts w:ascii="仿宋_GB2312" w:hAnsi="仿宋_GB2312" w:eastAsia="仿宋_GB2312"/>
          <w:b w:val="0"/>
          <w:sz w:val="32"/>
        </w:rPr>
        <w:t>其中：财政拨款收入657.59万元，占99.85%；上级补助收入0.00万元，占0.00%；事业收入0.00万元，占0.00%；经营收入0.00万元，占0.00%；附属单位上缴收入0.00万元，占0.00%；其他收入1.00万元，占0.15%。</w:t>
      </w:r>
    </w:p>
    <w:p w14:paraId="1DC84B50">
      <w:pPr>
        <w:spacing w:line="640" w:lineRule="exact"/>
        <w:ind w:firstLine="640"/>
        <w:jc w:val="both"/>
        <w:outlineLvl w:val="2"/>
      </w:pPr>
      <w:r>
        <w:rPr>
          <w:rFonts w:ascii="黑体" w:hAnsi="黑体" w:eastAsia="黑体"/>
          <w:sz w:val="32"/>
        </w:rPr>
        <w:t>三、支出决算情况说明</w:t>
      </w:r>
    </w:p>
    <w:p w14:paraId="42026800">
      <w:pPr>
        <w:spacing w:line="580" w:lineRule="exact"/>
        <w:ind w:firstLine="640"/>
        <w:jc w:val="both"/>
      </w:pPr>
      <w:r>
        <w:rPr>
          <w:rFonts w:ascii="仿宋_GB2312" w:hAnsi="仿宋_GB2312" w:eastAsia="仿宋_GB2312"/>
          <w:b/>
          <w:sz w:val="32"/>
        </w:rPr>
        <w:t>本年支出666.01万元，</w:t>
      </w:r>
      <w:r>
        <w:rPr>
          <w:rFonts w:ascii="仿宋_GB2312" w:hAnsi="仿宋_GB2312" w:eastAsia="仿宋_GB2312"/>
          <w:b w:val="0"/>
          <w:sz w:val="32"/>
        </w:rPr>
        <w:t>其中：基本支出660.87万元，占99.23%；项目支出5.14万元，占0.77%；上缴上级支出0.00万元，占0.00%；经营支出0.00万元，占0.00%；对附属单位补助支出0.00万元，占0.00%。</w:t>
      </w:r>
    </w:p>
    <w:p w14:paraId="49EE7267">
      <w:pPr>
        <w:spacing w:line="640" w:lineRule="exact"/>
        <w:ind w:firstLine="640"/>
        <w:jc w:val="both"/>
        <w:outlineLvl w:val="2"/>
      </w:pPr>
      <w:r>
        <w:rPr>
          <w:rFonts w:ascii="黑体" w:hAnsi="黑体" w:eastAsia="黑体"/>
          <w:sz w:val="32"/>
        </w:rPr>
        <w:t>四、财政拨款收入支出决算总体情况说明</w:t>
      </w:r>
    </w:p>
    <w:p w14:paraId="61D4550E">
      <w:pPr>
        <w:spacing w:line="580" w:lineRule="exact"/>
        <w:ind w:firstLine="640"/>
        <w:jc w:val="both"/>
      </w:pPr>
      <w:r>
        <w:rPr>
          <w:rFonts w:ascii="仿宋_GB2312" w:hAnsi="仿宋_GB2312" w:eastAsia="仿宋_GB2312"/>
          <w:b/>
          <w:sz w:val="32"/>
        </w:rPr>
        <w:t>2024年度财政拨款收入总计657.59万元，</w:t>
      </w:r>
      <w:r>
        <w:rPr>
          <w:rFonts w:ascii="仿宋_GB2312" w:hAnsi="仿宋_GB2312" w:eastAsia="仿宋_GB2312"/>
          <w:b w:val="0"/>
          <w:sz w:val="32"/>
        </w:rPr>
        <w:t>其中：年初财政拨款结转和结余0.00万元，本年财政拨款收入657.59万元。</w:t>
      </w:r>
      <w:r>
        <w:rPr>
          <w:rFonts w:ascii="仿宋_GB2312" w:hAnsi="仿宋_GB2312" w:eastAsia="仿宋_GB2312"/>
          <w:b/>
          <w:sz w:val="32"/>
        </w:rPr>
        <w:t>财政拨款支出总计657.59万元，</w:t>
      </w:r>
      <w:r>
        <w:rPr>
          <w:rFonts w:ascii="仿宋_GB2312" w:hAnsi="仿宋_GB2312" w:eastAsia="仿宋_GB2312"/>
          <w:b w:val="0"/>
          <w:sz w:val="32"/>
        </w:rPr>
        <w:t>其中：年末财政拨款结转和结余0.00万元，本年财政拨款支出657.59万元。</w:t>
      </w:r>
    </w:p>
    <w:p w14:paraId="092C348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增加133.85万元，增长25.56%，主要原因是：本年增加化解历史债务电信公司和联通公司网络专线费和维保费项目。</w:t>
      </w:r>
      <w:r>
        <w:rPr>
          <w:rFonts w:ascii="仿宋_GB2312" w:hAnsi="仿宋_GB2312" w:eastAsia="仿宋_GB2312"/>
          <w:b/>
          <w:sz w:val="32"/>
        </w:rPr>
        <w:t>与年初预算相比，</w:t>
      </w:r>
      <w:r>
        <w:rPr>
          <w:rFonts w:ascii="仿宋_GB2312" w:hAnsi="仿宋_GB2312" w:eastAsia="仿宋_GB2312"/>
          <w:b w:val="0"/>
          <w:sz w:val="32"/>
        </w:rPr>
        <w:t>年初预算数516.04万元，决算数657.59万元，预决算差异率27.43%，主要原因是：年中追加化解历史债务电信公司和联通公司网络专线费和维保费项目。</w:t>
      </w:r>
    </w:p>
    <w:p w14:paraId="2D7C4232">
      <w:pPr>
        <w:spacing w:line="640" w:lineRule="exact"/>
        <w:ind w:firstLine="640"/>
        <w:jc w:val="both"/>
        <w:outlineLvl w:val="2"/>
      </w:pPr>
      <w:r>
        <w:rPr>
          <w:rFonts w:ascii="黑体" w:hAnsi="黑体" w:eastAsia="黑体"/>
          <w:sz w:val="32"/>
        </w:rPr>
        <w:t>五、一般公共预算财政拨款支出决算情况说明</w:t>
      </w:r>
    </w:p>
    <w:p w14:paraId="2C051504">
      <w:pPr>
        <w:spacing w:line="640" w:lineRule="exact"/>
        <w:ind w:firstLine="640"/>
        <w:jc w:val="both"/>
        <w:outlineLvl w:val="3"/>
      </w:pPr>
      <w:r>
        <w:rPr>
          <w:rFonts w:ascii="楷体_GB2312" w:hAnsi="楷体_GB2312" w:eastAsia="楷体_GB2312"/>
          <w:b/>
          <w:sz w:val="32"/>
        </w:rPr>
        <w:t>（一）一般公共预算财政拨款支出决算总体情况</w:t>
      </w:r>
    </w:p>
    <w:p w14:paraId="40CF4E7B">
      <w:pPr>
        <w:spacing w:line="580" w:lineRule="exact"/>
        <w:ind w:firstLine="640"/>
        <w:jc w:val="both"/>
      </w:pPr>
      <w:r>
        <w:rPr>
          <w:rFonts w:ascii="仿宋_GB2312" w:hAnsi="仿宋_GB2312" w:eastAsia="仿宋_GB2312"/>
          <w:b/>
          <w:sz w:val="32"/>
        </w:rPr>
        <w:t>2024年度一般公共预算财政拨款支出657.59万元，</w:t>
      </w:r>
      <w:r>
        <w:rPr>
          <w:rFonts w:ascii="仿宋_GB2312" w:hAnsi="仿宋_GB2312" w:eastAsia="仿宋_GB2312"/>
          <w:b w:val="0"/>
          <w:sz w:val="32"/>
        </w:rPr>
        <w:t>占本年支出合计的98.74%。</w:t>
      </w:r>
      <w:r>
        <w:rPr>
          <w:rFonts w:ascii="仿宋_GB2312" w:hAnsi="仿宋_GB2312" w:eastAsia="仿宋_GB2312"/>
          <w:b/>
          <w:sz w:val="32"/>
        </w:rPr>
        <w:t>与上年相比，</w:t>
      </w:r>
      <w:r>
        <w:rPr>
          <w:rFonts w:ascii="仿宋_GB2312" w:hAnsi="仿宋_GB2312" w:eastAsia="仿宋_GB2312"/>
          <w:b w:val="0"/>
          <w:sz w:val="32"/>
        </w:rPr>
        <w:t>增加133.85万元，增长25.56%，主要原因是：本年增加化解历史债务电信公司和联通公司网络专线费和维保费项目。</w:t>
      </w:r>
      <w:r>
        <w:rPr>
          <w:rFonts w:ascii="仿宋_GB2312" w:hAnsi="仿宋_GB2312" w:eastAsia="仿宋_GB2312"/>
          <w:b/>
          <w:sz w:val="32"/>
        </w:rPr>
        <w:t>与年初预算相比,</w:t>
      </w:r>
      <w:r>
        <w:rPr>
          <w:rFonts w:ascii="仿宋_GB2312" w:hAnsi="仿宋_GB2312" w:eastAsia="仿宋_GB2312"/>
          <w:b w:val="0"/>
          <w:sz w:val="32"/>
        </w:rPr>
        <w:t>年初预算数516.04万元，决算数657.59万元，预决算差异率27.43%，主要原因是：年中追加化解历史债务电信公司和联通公司网络专线费和维保费项目。</w:t>
      </w:r>
    </w:p>
    <w:p w14:paraId="5A7F079B">
      <w:pPr>
        <w:spacing w:line="640" w:lineRule="exact"/>
        <w:ind w:firstLine="640"/>
        <w:jc w:val="both"/>
        <w:outlineLvl w:val="3"/>
      </w:pPr>
      <w:r>
        <w:rPr>
          <w:rFonts w:ascii="楷体_GB2312" w:hAnsi="楷体_GB2312" w:eastAsia="楷体_GB2312"/>
          <w:b/>
          <w:sz w:val="32"/>
        </w:rPr>
        <w:t>（二）一般公共预算财政拨款支出决算结构情况</w:t>
      </w:r>
    </w:p>
    <w:p w14:paraId="0D1D910F">
      <w:pPr>
        <w:spacing w:line="580" w:lineRule="exact"/>
        <w:ind w:firstLine="640"/>
        <w:jc w:val="both"/>
      </w:pPr>
      <w:r>
        <w:rPr>
          <w:rFonts w:ascii="仿宋_GB2312" w:hAnsi="仿宋_GB2312" w:eastAsia="仿宋_GB2312"/>
          <w:b w:val="0"/>
          <w:sz w:val="32"/>
        </w:rPr>
        <w:t>1.一般公共服务支出(类)532.82万元,占81.03%。</w:t>
      </w:r>
    </w:p>
    <w:p w14:paraId="417910EB">
      <w:pPr>
        <w:spacing w:line="580" w:lineRule="exact"/>
        <w:ind w:firstLine="640"/>
        <w:jc w:val="both"/>
      </w:pPr>
      <w:r>
        <w:rPr>
          <w:rFonts w:ascii="仿宋_GB2312" w:hAnsi="仿宋_GB2312" w:eastAsia="仿宋_GB2312"/>
          <w:b w:val="0"/>
          <w:sz w:val="32"/>
        </w:rPr>
        <w:t>2.社会保障和就业支出(类)60.95万元,占9.27%。</w:t>
      </w:r>
    </w:p>
    <w:p w14:paraId="72C301AD">
      <w:pPr>
        <w:spacing w:line="580" w:lineRule="exact"/>
        <w:ind w:firstLine="640"/>
        <w:jc w:val="both"/>
      </w:pPr>
      <w:r>
        <w:rPr>
          <w:rFonts w:ascii="仿宋_GB2312" w:hAnsi="仿宋_GB2312" w:eastAsia="仿宋_GB2312"/>
          <w:b w:val="0"/>
          <w:sz w:val="32"/>
        </w:rPr>
        <w:t>3.卫生健康支出(类)22.52万元,占3.42%。</w:t>
      </w:r>
    </w:p>
    <w:p w14:paraId="6D88ACBB">
      <w:pPr>
        <w:spacing w:line="580" w:lineRule="exact"/>
        <w:ind w:firstLine="640"/>
        <w:jc w:val="both"/>
      </w:pPr>
      <w:r>
        <w:rPr>
          <w:rFonts w:ascii="仿宋_GB2312" w:hAnsi="仿宋_GB2312" w:eastAsia="仿宋_GB2312"/>
          <w:b w:val="0"/>
          <w:sz w:val="32"/>
        </w:rPr>
        <w:t>4.住房保障支出(类)36.16万元,占5.50%。</w:t>
      </w:r>
    </w:p>
    <w:p w14:paraId="08873CF5">
      <w:pPr>
        <w:spacing w:line="580" w:lineRule="exact"/>
        <w:ind w:firstLine="640"/>
        <w:jc w:val="both"/>
      </w:pPr>
      <w:r>
        <w:rPr>
          <w:rFonts w:ascii="仿宋_GB2312" w:hAnsi="仿宋_GB2312" w:eastAsia="仿宋_GB2312"/>
          <w:b w:val="0"/>
          <w:sz w:val="32"/>
        </w:rPr>
        <w:t>5.其他支出(类)5.14万元,占0.78%。</w:t>
      </w:r>
    </w:p>
    <w:p w14:paraId="49A788D1">
      <w:pPr>
        <w:spacing w:line="640" w:lineRule="exact"/>
        <w:ind w:firstLine="640"/>
        <w:jc w:val="both"/>
        <w:outlineLvl w:val="3"/>
      </w:pPr>
      <w:r>
        <w:rPr>
          <w:rFonts w:ascii="楷体_GB2312" w:hAnsi="楷体_GB2312" w:eastAsia="楷体_GB2312"/>
          <w:b/>
          <w:sz w:val="32"/>
        </w:rPr>
        <w:t>（三）一般公共预算财政拨款支出决算具体情况</w:t>
      </w:r>
    </w:p>
    <w:p w14:paraId="38037E89">
      <w:pPr>
        <w:spacing w:line="580" w:lineRule="exact"/>
        <w:ind w:firstLine="640"/>
        <w:jc w:val="both"/>
      </w:pPr>
      <w:r>
        <w:rPr>
          <w:rFonts w:ascii="仿宋_GB2312" w:hAnsi="仿宋_GB2312" w:eastAsia="仿宋_GB2312"/>
          <w:b w:val="0"/>
          <w:sz w:val="32"/>
        </w:rPr>
        <w:t>1.一般公共服务支出(类)党委办公厅（室）及相关机构事务(款)行政运行(项):支出决算数为382.82万元，比上年决算减少26.46万元，下降6.47%,主要原因是：本年在职人员</w:t>
      </w:r>
      <w:r>
        <w:rPr>
          <w:rFonts w:hint="eastAsia" w:ascii="仿宋_GB2312" w:hAnsi="仿宋_GB2312" w:eastAsia="仿宋_GB2312"/>
          <w:b w:val="0"/>
          <w:sz w:val="32"/>
          <w:lang w:val="en-US" w:eastAsia="zh-CN"/>
        </w:rPr>
        <w:t>减少</w:t>
      </w:r>
      <w:bookmarkStart w:id="0" w:name="_GoBack"/>
      <w:bookmarkEnd w:id="0"/>
      <w:r>
        <w:rPr>
          <w:rFonts w:hint="eastAsia" w:ascii="仿宋_GB2312" w:hAnsi="仿宋_GB2312" w:eastAsia="仿宋_GB2312"/>
          <w:b w:val="0"/>
          <w:sz w:val="32"/>
          <w:lang w:val="en-US" w:eastAsia="zh-CN"/>
        </w:rPr>
        <w:t>，</w:t>
      </w:r>
      <w:r>
        <w:rPr>
          <w:rFonts w:ascii="仿宋_GB2312" w:hAnsi="仿宋_GB2312" w:eastAsia="仿宋_GB2312"/>
          <w:b w:val="0"/>
          <w:sz w:val="32"/>
        </w:rPr>
        <w:t>导致人员经费较上年减少。</w:t>
      </w:r>
    </w:p>
    <w:p w14:paraId="59E57B5F">
      <w:pPr>
        <w:spacing w:line="580" w:lineRule="exact"/>
        <w:ind w:firstLine="640"/>
        <w:jc w:val="both"/>
      </w:pPr>
      <w:r>
        <w:rPr>
          <w:rFonts w:ascii="仿宋_GB2312" w:hAnsi="仿宋_GB2312" w:eastAsia="仿宋_GB2312"/>
          <w:b w:val="0"/>
          <w:sz w:val="32"/>
        </w:rPr>
        <w:t>2.一般公共服务支出(类)党委办公厅（室）及相关机构事务(款)其他党委办公厅（室）及相关机构事务支出(项):支出决算数为150.00万元，比上年决算增加126.20万元，增长530.25%,主要原因是：本年增加化解历史债务电信公司和联通公司网络专线费和维保费项目。</w:t>
      </w:r>
    </w:p>
    <w:p w14:paraId="2E3C9A92">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5.34万元，比上年决算增加1.52万元，增长39.79%,主要原因是：本年增加退休人员基础绩效奖及在职转退休1人，退休费支出增加。</w:t>
      </w:r>
    </w:p>
    <w:p w14:paraId="0AC0AFD7">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44.32万元，比上年决算增加6.32万元，增长16.63%,主要原因是：本年在职人员工资基数调增，养老缴费基数上涨，相应支出增加。</w:t>
      </w:r>
    </w:p>
    <w:p w14:paraId="6B944979">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5.社会保障和就业支出(类)行政事业单位养老支出(款)机关事业单位职业年金缴费支出(项):支出决算数为11.29万元，比上年决算增加11.29万元，增长100.00%,主要原因是：本年新增退休人员，职业年金缴费支出增加。</w:t>
      </w:r>
    </w:p>
    <w:p w14:paraId="7D6DA6CC">
      <w:pPr>
        <w:spacing w:line="580" w:lineRule="exact"/>
        <w:ind w:firstLine="640"/>
        <w:jc w:val="both"/>
      </w:pPr>
      <w:r>
        <w:rPr>
          <w:rFonts w:ascii="仿宋_GB2312" w:hAnsi="仿宋_GB2312" w:eastAsia="仿宋_GB2312"/>
          <w:b w:val="0"/>
          <w:sz w:val="32"/>
        </w:rPr>
        <w:t>6.卫生健康支出(类)行政事业单位医疗(款)行政单位医疗(项):支出决算数为20.20万元，比上年决算增加2.84万元，增长16.36%,主要原因是：本年在职人员工资基数调增，医疗缴费基数上涨，相应支出增加。</w:t>
      </w:r>
    </w:p>
    <w:p w14:paraId="01C161FA">
      <w:pPr>
        <w:spacing w:line="580" w:lineRule="exact"/>
        <w:ind w:firstLine="640"/>
        <w:jc w:val="both"/>
      </w:pPr>
      <w:r>
        <w:rPr>
          <w:rFonts w:ascii="仿宋_GB2312" w:hAnsi="仿宋_GB2312" w:eastAsia="仿宋_GB2312"/>
          <w:b w:val="0"/>
          <w:sz w:val="32"/>
        </w:rPr>
        <w:t>7.卫生健康支出(类)行政事业单位医疗(款)公务员医疗补助(项):支出决算数为2.32万元，比上年决算增加0.43万元，增长22.75%,主要原因是：本年在职人员工资基数调增，医疗缴费基数上涨，相应支出增加。</w:t>
      </w:r>
    </w:p>
    <w:p w14:paraId="78036DEA">
      <w:pPr>
        <w:spacing w:line="580" w:lineRule="exact"/>
        <w:ind w:firstLine="640"/>
        <w:jc w:val="both"/>
      </w:pPr>
      <w:r>
        <w:rPr>
          <w:rFonts w:ascii="仿宋_GB2312" w:hAnsi="仿宋_GB2312" w:eastAsia="仿宋_GB2312"/>
          <w:b w:val="0"/>
          <w:sz w:val="32"/>
        </w:rPr>
        <w:t>8.住房保障支出(类)住房改革支出(款)住房公积金(项):支出决算数为36.16万元，比上年决算增加6.57万元，增长22.20%,主要原因是：本年在职人员工资基数调增，公积金缴费基数上涨，相应支出增加。</w:t>
      </w:r>
    </w:p>
    <w:p w14:paraId="6307CD1F">
      <w:pPr>
        <w:spacing w:line="580" w:lineRule="exact"/>
        <w:ind w:firstLine="640"/>
        <w:jc w:val="both"/>
      </w:pPr>
      <w:r>
        <w:rPr>
          <w:rFonts w:ascii="仿宋_GB2312" w:hAnsi="仿宋_GB2312" w:eastAsia="仿宋_GB2312"/>
          <w:b w:val="0"/>
          <w:sz w:val="32"/>
        </w:rPr>
        <w:t>9.其他支出(类)其他支出(款)其他支出(项):支出决算数为5.14万元，比上年决算增加5.14万元，增长100.00%,主要原因是：本年新增为民办实事英吾斯塘乡英吾斯塘村项目专项经费。</w:t>
      </w:r>
    </w:p>
    <w:p w14:paraId="3423A25E">
      <w:pPr>
        <w:spacing w:line="640" w:lineRule="exact"/>
        <w:ind w:firstLine="640"/>
        <w:jc w:val="both"/>
        <w:outlineLvl w:val="2"/>
      </w:pPr>
      <w:r>
        <w:rPr>
          <w:rFonts w:ascii="黑体" w:hAnsi="黑体" w:eastAsia="黑体"/>
          <w:sz w:val="32"/>
        </w:rPr>
        <w:t>六、一般公共预算财政拨款基本支出决算情况说明</w:t>
      </w:r>
    </w:p>
    <w:p w14:paraId="7564D5AD">
      <w:pPr>
        <w:spacing w:line="580" w:lineRule="exact"/>
        <w:ind w:firstLine="640"/>
        <w:jc w:val="both"/>
      </w:pPr>
      <w:r>
        <w:rPr>
          <w:rFonts w:ascii="仿宋_GB2312" w:hAnsi="仿宋_GB2312" w:eastAsia="仿宋_GB2312"/>
          <w:b w:val="0"/>
          <w:sz w:val="32"/>
        </w:rPr>
        <w:t>2024年度一般公共预算财政拨款基本支出652.45万元，其中：</w:t>
      </w:r>
      <w:r>
        <w:rPr>
          <w:rFonts w:ascii="仿宋_GB2312" w:hAnsi="仿宋_GB2312" w:eastAsia="仿宋_GB2312"/>
          <w:b/>
          <w:sz w:val="32"/>
        </w:rPr>
        <w:t>人员经费466.98万元，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包括：基本工资、津贴补贴、奖金、机关事业单位基本养老保险缴费、职业年金缴费、职工基本医疗保险缴费、公务员医疗补助缴费、其他社会保障缴费、住房公积金、退休费、生活补助、奖励金。</w:t>
      </w:r>
    </w:p>
    <w:p w14:paraId="471DF603">
      <w:pPr>
        <w:spacing w:line="580" w:lineRule="exact"/>
        <w:ind w:firstLine="640"/>
        <w:jc w:val="both"/>
      </w:pPr>
      <w:r>
        <w:rPr>
          <w:rFonts w:ascii="仿宋_GB2312" w:hAnsi="仿宋_GB2312" w:eastAsia="仿宋_GB2312"/>
          <w:b/>
          <w:sz w:val="32"/>
        </w:rPr>
        <w:t>公用经费185.47万元，</w:t>
      </w:r>
      <w:r>
        <w:rPr>
          <w:rFonts w:ascii="仿宋_GB2312" w:hAnsi="仿宋_GB2312" w:eastAsia="仿宋_GB2312"/>
          <w:b w:val="0"/>
          <w:sz w:val="32"/>
        </w:rPr>
        <w:t>包括：办公费、手续费、电费、邮电费、取暖费、物业管理费、维修（护）费、租赁费、公务用车运行维护费、其他商品和服务支出、办公设备购置。</w:t>
      </w:r>
    </w:p>
    <w:p w14:paraId="431CB076">
      <w:pPr>
        <w:spacing w:line="640" w:lineRule="exact"/>
        <w:ind w:firstLine="640"/>
        <w:jc w:val="both"/>
        <w:outlineLvl w:val="2"/>
      </w:pPr>
      <w:r>
        <w:rPr>
          <w:rFonts w:ascii="黑体" w:hAnsi="黑体" w:eastAsia="黑体"/>
          <w:sz w:val="32"/>
        </w:rPr>
        <w:t>七、政府性基金预算财政拨款收入支出决算情况说明</w:t>
      </w:r>
    </w:p>
    <w:p w14:paraId="66BB0FD1">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21E0468A">
      <w:pPr>
        <w:spacing w:line="640" w:lineRule="exact"/>
        <w:ind w:firstLine="640"/>
        <w:jc w:val="both"/>
        <w:outlineLvl w:val="2"/>
      </w:pPr>
      <w:r>
        <w:rPr>
          <w:rFonts w:ascii="黑体" w:hAnsi="黑体" w:eastAsia="黑体"/>
          <w:sz w:val="32"/>
        </w:rPr>
        <w:t>八、国有资本经营预算财政拨款收入支出决算情况说明</w:t>
      </w:r>
    </w:p>
    <w:p w14:paraId="3D8AB99D">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68095FCE">
      <w:pPr>
        <w:spacing w:line="640" w:lineRule="exact"/>
        <w:ind w:firstLine="640"/>
        <w:jc w:val="both"/>
        <w:outlineLvl w:val="2"/>
      </w:pPr>
      <w:r>
        <w:rPr>
          <w:rFonts w:ascii="黑体" w:hAnsi="黑体" w:eastAsia="黑体"/>
          <w:sz w:val="32"/>
        </w:rPr>
        <w:t>九、财政拨款“三公”经费支出决算情况说明</w:t>
      </w:r>
    </w:p>
    <w:p w14:paraId="5DC3B8B0">
      <w:pPr>
        <w:spacing w:line="580" w:lineRule="exact"/>
        <w:ind w:firstLine="640"/>
        <w:jc w:val="both"/>
      </w:pPr>
      <w:r>
        <w:rPr>
          <w:rFonts w:ascii="仿宋_GB2312" w:hAnsi="仿宋_GB2312" w:eastAsia="仿宋_GB2312"/>
          <w:b/>
          <w:sz w:val="32"/>
        </w:rPr>
        <w:t>2024年度财政拨款“三公”经费支出1.70万元，</w:t>
      </w:r>
      <w:r>
        <w:rPr>
          <w:rFonts w:ascii="仿宋_GB2312" w:hAnsi="仿宋_GB2312" w:eastAsia="仿宋_GB2312"/>
          <w:b w:val="0"/>
          <w:sz w:val="32"/>
        </w:rPr>
        <w:t>比上年减少1.16万元，下降40.56%，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1.70万元，占100.00%，比上年减少1.16万元，下降40.56%，主要原因是：严格落实中央八项规定精神，厉行节约，减少公务用车运行维护费。公务接待费支出0.00万元，占0.00%，比上年增加0.00万元，增长0.00%，主要原因是：2023年与2024年均未安排公务接待费支出。</w:t>
      </w:r>
    </w:p>
    <w:p w14:paraId="18A3372B">
      <w:pPr>
        <w:spacing w:line="580" w:lineRule="exact"/>
        <w:ind w:firstLine="640"/>
        <w:jc w:val="both"/>
      </w:pPr>
      <w:r>
        <w:rPr>
          <w:rFonts w:ascii="仿宋_GB2312" w:hAnsi="仿宋_GB2312" w:eastAsia="仿宋_GB2312"/>
          <w:b/>
          <w:sz w:val="32"/>
        </w:rPr>
        <w:t>具体情况如下：</w:t>
      </w:r>
    </w:p>
    <w:p w14:paraId="2C399ECC">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17485939">
      <w:pPr>
        <w:spacing w:line="580" w:lineRule="exact"/>
        <w:ind w:firstLine="640"/>
        <w:jc w:val="both"/>
      </w:pPr>
      <w:r>
        <w:rPr>
          <w:rFonts w:ascii="仿宋_GB2312" w:hAnsi="仿宋_GB2312" w:eastAsia="仿宋_GB2312"/>
          <w:b w:val="0"/>
          <w:sz w:val="32"/>
        </w:rPr>
        <w:t>公务用车购置及运行维护费1.70万元，其中：公务用车购置费0.00万元，公务用车运行维护费1.70万元。公务用车运行维护费开支内容包括车辆加油费、保险费、审车费等。公务用车购置数0辆，公务用车保有量1辆。国有资产占用情况中固定资产车辆1辆，与公务用车保有量差异原因是：本部门固定资产车辆与公务用车保有量一致无差异。</w:t>
      </w:r>
    </w:p>
    <w:p w14:paraId="3D1A08A6">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12B880C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1.70万元，决算数1.70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1.70万元，决算数1.70万元，预决算差异率0.00%，主要原因是：严格按照预算执行，预决算无差异。公务接待费全年预算数0.00万元，决算数0.00万元，预决算差异率0.00%，主要原因是：本部门无公务接待费。</w:t>
      </w:r>
    </w:p>
    <w:p w14:paraId="018DAABA">
      <w:pPr>
        <w:spacing w:line="640" w:lineRule="exact"/>
        <w:ind w:firstLine="640"/>
        <w:jc w:val="both"/>
        <w:outlineLvl w:val="2"/>
      </w:pPr>
      <w:r>
        <w:rPr>
          <w:rFonts w:ascii="黑体" w:hAnsi="黑体" w:eastAsia="黑体"/>
          <w:sz w:val="32"/>
        </w:rPr>
        <w:t>十、其他重要事项的情况说明</w:t>
      </w:r>
    </w:p>
    <w:p w14:paraId="1EFF3F7C">
      <w:pPr>
        <w:spacing w:line="640" w:lineRule="exact"/>
        <w:ind w:firstLine="640"/>
        <w:jc w:val="both"/>
        <w:outlineLvl w:val="3"/>
      </w:pPr>
      <w:r>
        <w:rPr>
          <w:rFonts w:ascii="楷体_GB2312" w:hAnsi="楷体_GB2312" w:eastAsia="楷体_GB2312"/>
          <w:b/>
          <w:sz w:val="32"/>
        </w:rPr>
        <w:t>（一）机关运行经费及公用经费支出情况</w:t>
      </w:r>
    </w:p>
    <w:p w14:paraId="51764242">
      <w:pPr>
        <w:spacing w:line="580" w:lineRule="exact"/>
        <w:ind w:firstLine="640"/>
        <w:jc w:val="both"/>
      </w:pPr>
      <w:r>
        <w:rPr>
          <w:rFonts w:ascii="仿宋_GB2312" w:hAnsi="仿宋_GB2312" w:eastAsia="仿宋_GB2312"/>
          <w:b w:val="0"/>
          <w:sz w:val="32"/>
        </w:rPr>
        <w:t>2024年度中共且末县委员会政法委员会本级（行政单位和参照公务员法管理事业单位）机关运行经费支出185.47万元，比上年增加132.45万元，增长249.81%，主要原因是：本年增加化解历史债务电信公司和联通公司网络专线费和维保费。</w:t>
      </w:r>
    </w:p>
    <w:p w14:paraId="6D86F7EC">
      <w:pPr>
        <w:spacing w:line="640" w:lineRule="exact"/>
        <w:ind w:firstLine="640"/>
        <w:jc w:val="both"/>
        <w:outlineLvl w:val="3"/>
      </w:pPr>
      <w:r>
        <w:rPr>
          <w:rFonts w:ascii="楷体_GB2312" w:hAnsi="楷体_GB2312" w:eastAsia="楷体_GB2312"/>
          <w:b/>
          <w:sz w:val="32"/>
        </w:rPr>
        <w:t>（二）政府采购情况</w:t>
      </w:r>
    </w:p>
    <w:p w14:paraId="78B24726">
      <w:pPr>
        <w:spacing w:line="580" w:lineRule="exact"/>
        <w:ind w:firstLine="640"/>
        <w:jc w:val="both"/>
      </w:pPr>
      <w:r>
        <w:rPr>
          <w:rFonts w:ascii="仿宋_GB2312" w:hAnsi="仿宋_GB2312" w:eastAsia="仿宋_GB2312"/>
          <w:b w:val="0"/>
          <w:sz w:val="32"/>
        </w:rPr>
        <w:t>2024年度政府采购支出总额149.12万元，其中：政府采购货物支出3.87万元、政府采购工程支出7.00万元、政府采购服务支出138.25万元。</w:t>
      </w:r>
    </w:p>
    <w:p w14:paraId="72A0F85C">
      <w:pPr>
        <w:spacing w:line="580" w:lineRule="exact"/>
        <w:ind w:firstLine="640"/>
        <w:jc w:val="both"/>
      </w:pPr>
      <w:r>
        <w:rPr>
          <w:rFonts w:ascii="仿宋_GB2312" w:hAnsi="仿宋_GB2312" w:eastAsia="仿宋_GB2312"/>
          <w:b w:val="0"/>
          <w:sz w:val="32"/>
        </w:rPr>
        <w:t>授予中小企业合同金额131.08万元，占政府采购支出总额的87.90%，其中：授予小微企业合同金额110.33万元，占政府采购支出总额的73.99%。</w:t>
      </w:r>
    </w:p>
    <w:p w14:paraId="62D45498">
      <w:pPr>
        <w:spacing w:line="640" w:lineRule="exact"/>
        <w:ind w:firstLine="640"/>
        <w:jc w:val="both"/>
        <w:outlineLvl w:val="3"/>
      </w:pPr>
      <w:r>
        <w:rPr>
          <w:rFonts w:ascii="楷体_GB2312" w:hAnsi="楷体_GB2312" w:eastAsia="楷体_GB2312"/>
          <w:b/>
          <w:sz w:val="32"/>
        </w:rPr>
        <w:t>（三）国有资产占用情况说明</w:t>
      </w:r>
    </w:p>
    <w:p w14:paraId="13917EF9">
      <w:pPr>
        <w:spacing w:line="580" w:lineRule="exact"/>
        <w:ind w:firstLine="640"/>
        <w:jc w:val="both"/>
      </w:pPr>
      <w:r>
        <w:rPr>
          <w:rFonts w:ascii="仿宋_GB2312" w:hAnsi="仿宋_GB2312" w:eastAsia="仿宋_GB2312"/>
          <w:b w:val="0"/>
          <w:sz w:val="32"/>
        </w:rPr>
        <w:t>截至2024年12月31日，房屋0.00平方米，价值0.00万元。车辆1辆，价值5.00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4台（套）。</w:t>
      </w:r>
    </w:p>
    <w:p w14:paraId="368066AE">
      <w:pPr>
        <w:spacing w:line="640" w:lineRule="exact"/>
        <w:ind w:firstLine="640"/>
        <w:jc w:val="both"/>
        <w:outlineLvl w:val="2"/>
      </w:pPr>
      <w:r>
        <w:rPr>
          <w:rFonts w:ascii="黑体" w:hAnsi="黑体" w:eastAsia="黑体"/>
          <w:sz w:val="32"/>
        </w:rPr>
        <w:t>十一、预算绩效的情况说明</w:t>
      </w:r>
    </w:p>
    <w:p w14:paraId="1381D98C">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668.51万元，实际执行总额668.51万元；预算绩效评价项目1个，全年预算数20.00万元，全年执行数20.00万元。预算绩效管理取得的成效：一是预算资金使用效益显著提升；二是预算管理的规范性和透明度增强；三是推动政府职能转变和责任落实。发现的问题及原因：一是部门整体支出绩效监控工作领导小组在开展监控工作中存在工作配合不够紧密，各科室在工作中相互协作分工不够明确。主要是因为部门整体支出绩效监控工作领导小组成员对相关工作不够熟悉，业务知识掌握不够熟练，导致工作开展配合不顺利。二是固定资产管理水平有待提高。固定资产台账未及时与账面资产金额对账且未与实物进行清点及时清理处置报废资产导致资产台账与账面资产金额存在差异,固定资产管理继续加强中。下一步改进措施：一是加强新行政单位会计制度和新预算法学习培训、规范账务处理，加强新《中华人民共和国预算法》《行政单位会计制度》《</w:t>
      </w:r>
      <w:r>
        <w:rPr>
          <w:rFonts w:hint="eastAsia" w:ascii="仿宋_GB2312" w:hAnsi="仿宋_GB2312" w:eastAsia="仿宋_GB2312"/>
          <w:b w:val="0"/>
          <w:sz w:val="32"/>
          <w:lang w:eastAsia="zh-CN"/>
        </w:rPr>
        <w:t>中华人民共和国会计法</w:t>
      </w:r>
      <w:r>
        <w:rPr>
          <w:rFonts w:ascii="仿宋_GB2312" w:hAnsi="仿宋_GB2312" w:eastAsia="仿宋_GB2312"/>
          <w:b w:val="0"/>
          <w:sz w:val="32"/>
        </w:rPr>
        <w:t>》《行政单位财务规则》等学习培训,规范部门预算收支核算。一是制定和完善基本支出、项目支出等各项支出标准,严格按项目进度执行预算,增强预算的约束力和严肃性。二是落实预算执行分析，及时了解预算执行差异,合理调整、纠正预算执行偏差，切实提高部门预算收支管理水平。尽可能地做到决算与预算相衔接。</w:t>
      </w:r>
      <w:r>
        <w:rPr>
          <w:rFonts w:hint="eastAsia" w:ascii="仿宋_GB2312" w:hAnsi="仿宋_GB2312" w:eastAsia="仿宋_GB2312"/>
          <w:b w:val="0"/>
          <w:sz w:val="32"/>
          <w:lang w:val="en-US" w:eastAsia="zh-CN"/>
        </w:rPr>
        <w:t>三</w:t>
      </w:r>
      <w:r>
        <w:rPr>
          <w:rFonts w:ascii="仿宋_GB2312" w:hAnsi="仿宋_GB2312" w:eastAsia="仿宋_GB2312"/>
          <w:b w:val="0"/>
          <w:sz w:val="32"/>
        </w:rPr>
        <w:t>是完善管理制度,进一步加强资产管理。严格按照《固定资产管理办法》的规定，加强固定资产管理,及时登记、更新台账，加强资产卡片管理，对各类实物资产进行全面盘点，确保账账、账实相符。具体附部门整体支出绩效自评表，项目支出绩效自评表。</w:t>
      </w:r>
    </w:p>
    <w:p w14:paraId="5F587744">
      <w:r>
        <w:br w:type="page"/>
      </w:r>
    </w:p>
    <w:tbl>
      <w:tblPr>
        <w:tblStyle w:val="9"/>
        <w:tblW w:w="9160" w:type="dxa"/>
        <w:tblInd w:w="0" w:type="dxa"/>
        <w:tblLayout w:type="autofit"/>
        <w:tblCellMar>
          <w:top w:w="0" w:type="dxa"/>
          <w:left w:w="108" w:type="dxa"/>
          <w:bottom w:w="0" w:type="dxa"/>
          <w:right w:w="108" w:type="dxa"/>
        </w:tblCellMar>
      </w:tblPr>
      <w:tblGrid>
        <w:gridCol w:w="1017"/>
        <w:gridCol w:w="1017"/>
        <w:gridCol w:w="1017"/>
        <w:gridCol w:w="1017"/>
        <w:gridCol w:w="1017"/>
        <w:gridCol w:w="1017"/>
        <w:gridCol w:w="1017"/>
        <w:gridCol w:w="1017"/>
        <w:gridCol w:w="1024"/>
      </w:tblGrid>
      <w:tr w14:paraId="370AFA7D">
        <w:tblPrEx>
          <w:tblCellMar>
            <w:top w:w="0" w:type="dxa"/>
            <w:left w:w="108" w:type="dxa"/>
            <w:bottom w:w="0" w:type="dxa"/>
            <w:right w:w="108" w:type="dxa"/>
          </w:tblCellMar>
        </w:tblPrEx>
        <w:trPr>
          <w:trHeight w:val="140" w:hRule="atLeast"/>
        </w:trPr>
        <w:tc>
          <w:tcPr>
            <w:tcW w:w="9160" w:type="dxa"/>
            <w:gridSpan w:val="9"/>
            <w:vAlign w:val="center"/>
          </w:tcPr>
          <w:p w14:paraId="2FFD7ADC">
            <w:pPr>
              <w:jc w:val="center"/>
            </w:pPr>
            <w:r>
              <w:rPr>
                <w:rFonts w:ascii="宋体" w:hAnsi="宋体" w:eastAsia="宋体"/>
                <w:sz w:val="24"/>
              </w:rPr>
              <w:t>部门整体支出绩效自评表</w:t>
            </w:r>
          </w:p>
        </w:tc>
      </w:tr>
      <w:tr w14:paraId="7FA7CAAF">
        <w:tblPrEx>
          <w:tblCellMar>
            <w:top w:w="0" w:type="dxa"/>
            <w:left w:w="108" w:type="dxa"/>
            <w:bottom w:w="0" w:type="dxa"/>
            <w:right w:w="108" w:type="dxa"/>
          </w:tblCellMar>
        </w:tblPrEx>
        <w:trPr>
          <w:trHeight w:val="140" w:hRule="atLeast"/>
        </w:trPr>
        <w:tc>
          <w:tcPr>
            <w:tcW w:w="9160" w:type="dxa"/>
            <w:gridSpan w:val="9"/>
            <w:vAlign w:val="center"/>
          </w:tcPr>
          <w:p w14:paraId="3D3B9954">
            <w:pPr>
              <w:jc w:val="center"/>
            </w:pPr>
            <w:r>
              <w:rPr>
                <w:rFonts w:ascii="宋体" w:hAnsi="宋体" w:eastAsia="宋体"/>
                <w:sz w:val="24"/>
              </w:rPr>
              <w:t>（2024年度）</w:t>
            </w:r>
          </w:p>
        </w:tc>
      </w:tr>
      <w:tr w14:paraId="4164F658">
        <w:tblPrEx>
          <w:tblCellMar>
            <w:top w:w="0" w:type="dxa"/>
            <w:left w:w="108" w:type="dxa"/>
            <w:bottom w:w="0" w:type="dxa"/>
            <w:right w:w="108" w:type="dxa"/>
          </w:tblCellMar>
        </w:tblPrEx>
        <w:trPr>
          <w:trHeight w:val="151" w:hRule="atLeast"/>
        </w:trPr>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056E6376">
            <w:pPr>
              <w:jc w:val="center"/>
            </w:pPr>
            <w:r>
              <w:rPr>
                <w:rFonts w:ascii="宋体" w:hAnsi="宋体" w:eastAsia="宋体"/>
                <w:sz w:val="16"/>
              </w:rPr>
              <w:t>部门名称</w:t>
            </w:r>
          </w:p>
        </w:tc>
        <w:tc>
          <w:tcPr>
            <w:tcW w:w="8143"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3F69642">
            <w:pPr>
              <w:jc w:val="center"/>
            </w:pPr>
            <w:r>
              <w:rPr>
                <w:rFonts w:ascii="宋体" w:hAnsi="宋体" w:eastAsia="宋体"/>
                <w:sz w:val="16"/>
              </w:rPr>
              <w:t>中共且末县委员会政法委员会本级</w:t>
            </w:r>
          </w:p>
        </w:tc>
      </w:tr>
      <w:tr w14:paraId="20D19928">
        <w:tblPrEx>
          <w:tblCellMar>
            <w:top w:w="0" w:type="dxa"/>
            <w:left w:w="108" w:type="dxa"/>
            <w:bottom w:w="0" w:type="dxa"/>
            <w:right w:w="108" w:type="dxa"/>
          </w:tblCellMar>
        </w:tblPrEx>
        <w:trPr>
          <w:trHeight w:val="291" w:hRule="atLeast"/>
        </w:trPr>
        <w:tc>
          <w:tcPr>
            <w:tcW w:w="10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E80D92">
            <w:pPr>
              <w:jc w:val="center"/>
            </w:pPr>
            <w:r>
              <w:rPr>
                <w:rFonts w:ascii="宋体" w:hAnsi="宋体" w:eastAsia="宋体"/>
                <w:sz w:val="16"/>
              </w:rPr>
              <w:t>部门资金（万元）</w:t>
            </w:r>
          </w:p>
        </w:tc>
        <w:tc>
          <w:tcPr>
            <w:tcW w:w="20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7D0F4">
            <w:pPr>
              <w:jc w:val="center"/>
            </w:pPr>
            <w:r>
              <w:rPr>
                <w:rFonts w:ascii="宋体" w:hAnsi="宋体" w:eastAsia="宋体"/>
                <w:sz w:val="16"/>
              </w:rPr>
              <w:t>资金来源</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42DF1396">
            <w:pPr>
              <w:jc w:val="center"/>
            </w:pPr>
            <w:r>
              <w:rPr>
                <w:rFonts w:ascii="宋体" w:hAnsi="宋体" w:eastAsia="宋体"/>
                <w:sz w:val="16"/>
              </w:rPr>
              <w:t>年初预算数（万元）</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6357E28C">
            <w:pPr>
              <w:jc w:val="center"/>
            </w:pPr>
            <w:r>
              <w:rPr>
                <w:rFonts w:ascii="宋体" w:hAnsi="宋体" w:eastAsia="宋体"/>
                <w:sz w:val="16"/>
              </w:rPr>
              <w:t>预算数（调整后）</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0D532F4C">
            <w:pPr>
              <w:jc w:val="center"/>
            </w:pPr>
            <w:r>
              <w:rPr>
                <w:rFonts w:ascii="宋体" w:hAnsi="宋体" w:eastAsia="宋体"/>
                <w:sz w:val="16"/>
              </w:rPr>
              <w:t>执行数</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6ED64605">
            <w:pPr>
              <w:jc w:val="center"/>
            </w:pPr>
            <w:r>
              <w:rPr>
                <w:rFonts w:ascii="宋体" w:hAnsi="宋体" w:eastAsia="宋体"/>
                <w:sz w:val="16"/>
              </w:rPr>
              <w:t>分值权重</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5F4B966">
            <w:pPr>
              <w:jc w:val="center"/>
            </w:pPr>
            <w:r>
              <w:rPr>
                <w:rFonts w:ascii="宋体" w:hAnsi="宋体" w:eastAsia="宋体"/>
                <w:sz w:val="16"/>
              </w:rPr>
              <w:t>执行率</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3F6C244F">
            <w:pPr>
              <w:jc w:val="center"/>
            </w:pPr>
            <w:r>
              <w:rPr>
                <w:rFonts w:ascii="宋体" w:hAnsi="宋体" w:eastAsia="宋体"/>
                <w:sz w:val="16"/>
              </w:rPr>
              <w:t>得分</w:t>
            </w:r>
          </w:p>
        </w:tc>
      </w:tr>
      <w:tr w14:paraId="53C77E74">
        <w:tblPrEx>
          <w:tblCellMar>
            <w:top w:w="0" w:type="dxa"/>
            <w:left w:w="108" w:type="dxa"/>
            <w:bottom w:w="0" w:type="dxa"/>
            <w:right w:w="108" w:type="dxa"/>
          </w:tblCellMar>
        </w:tblPrEx>
        <w:trPr>
          <w:trHeight w:val="291" w:hRule="atLeast"/>
        </w:trPr>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7C1A7601"/>
        </w:tc>
        <w:tc>
          <w:tcPr>
            <w:tcW w:w="10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0E71F">
            <w:pPr>
              <w:jc w:val="center"/>
            </w:pPr>
            <w:r>
              <w:rPr>
                <w:rFonts w:ascii="宋体" w:hAnsi="宋体" w:eastAsia="宋体"/>
                <w:sz w:val="16"/>
              </w:rPr>
              <w:t>财政资金（万元）</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77F3BCEB">
            <w:pPr>
              <w:jc w:val="center"/>
            </w:pPr>
            <w:r>
              <w:rPr>
                <w:rFonts w:ascii="宋体" w:hAnsi="宋体" w:eastAsia="宋体"/>
                <w:sz w:val="16"/>
              </w:rPr>
              <w:t>年度总资金</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2FDA659A">
            <w:pPr>
              <w:jc w:val="center"/>
            </w:pPr>
            <w:r>
              <w:rPr>
                <w:rFonts w:ascii="宋体" w:hAnsi="宋体" w:eastAsia="宋体"/>
                <w:sz w:val="16"/>
              </w:rPr>
              <w:t>516.04</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FF70350">
            <w:pPr>
              <w:jc w:val="center"/>
            </w:pPr>
            <w:r>
              <w:rPr>
                <w:rFonts w:ascii="宋体" w:hAnsi="宋体" w:eastAsia="宋体"/>
                <w:sz w:val="16"/>
              </w:rPr>
              <w:t>668.51</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2739E7D2">
            <w:pPr>
              <w:jc w:val="center"/>
            </w:pPr>
            <w:r>
              <w:rPr>
                <w:rFonts w:ascii="宋体" w:hAnsi="宋体" w:eastAsia="宋体"/>
                <w:sz w:val="16"/>
              </w:rPr>
              <w:t>668.51</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475EDC7D">
            <w:pPr>
              <w:jc w:val="center"/>
            </w:pPr>
            <w:r>
              <w:rPr>
                <w:rFonts w:ascii="宋体" w:hAnsi="宋体" w:eastAsia="宋体"/>
                <w:sz w:val="16"/>
              </w:rPr>
              <w:t>10</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01A9A128">
            <w:pPr>
              <w:jc w:val="center"/>
            </w:pPr>
            <w:r>
              <w:rPr>
                <w:rFonts w:ascii="宋体" w:hAnsi="宋体" w:eastAsia="宋体"/>
                <w:sz w:val="16"/>
              </w:rPr>
              <w:t>100%</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3D2E3E04">
            <w:pPr>
              <w:jc w:val="center"/>
            </w:pPr>
            <w:r>
              <w:rPr>
                <w:rFonts w:ascii="宋体" w:hAnsi="宋体" w:eastAsia="宋体"/>
                <w:sz w:val="16"/>
              </w:rPr>
              <w:t>9.6</w:t>
            </w:r>
          </w:p>
        </w:tc>
      </w:tr>
      <w:tr w14:paraId="658213B3">
        <w:tblPrEx>
          <w:tblCellMar>
            <w:top w:w="0" w:type="dxa"/>
            <w:left w:w="108" w:type="dxa"/>
            <w:bottom w:w="0" w:type="dxa"/>
            <w:right w:w="108" w:type="dxa"/>
          </w:tblCellMar>
        </w:tblPrEx>
        <w:trPr>
          <w:trHeight w:val="431" w:hRule="atLeast"/>
        </w:trPr>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3252C2E3"/>
        </w:tc>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2C462D06"/>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7422A5EF">
            <w:pPr>
              <w:jc w:val="center"/>
            </w:pPr>
            <w:r>
              <w:rPr>
                <w:rFonts w:ascii="宋体" w:hAnsi="宋体" w:eastAsia="宋体"/>
                <w:sz w:val="16"/>
              </w:rPr>
              <w:t>其中:上级安排（万元）</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70297AC">
            <w:pPr>
              <w:jc w:val="center"/>
            </w:pPr>
            <w:r>
              <w:rPr>
                <w:rFonts w:ascii="宋体" w:hAnsi="宋体" w:eastAsia="宋体"/>
                <w:sz w:val="16"/>
              </w:rPr>
              <w:t>0.00</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74D6BB65">
            <w:pPr>
              <w:jc w:val="center"/>
            </w:pPr>
            <w:r>
              <w:rPr>
                <w:rFonts w:ascii="宋体" w:hAnsi="宋体" w:eastAsia="宋体"/>
                <w:sz w:val="16"/>
              </w:rPr>
              <w:t>0.00</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17ABA5C9">
            <w:pPr>
              <w:jc w:val="center"/>
            </w:pPr>
            <w:r>
              <w:rPr>
                <w:rFonts w:ascii="宋体" w:hAnsi="宋体" w:eastAsia="宋体"/>
                <w:sz w:val="16"/>
              </w:rPr>
              <w:t>0.00</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12D2BDAF">
            <w:pPr>
              <w:jc w:val="center"/>
            </w:pPr>
            <w:r>
              <w:rPr>
                <w:rFonts w:ascii="宋体" w:hAnsi="宋体" w:eastAsia="宋体"/>
                <w:sz w:val="16"/>
              </w:rPr>
              <w:t>-</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162F7B7">
            <w:pPr>
              <w:jc w:val="center"/>
            </w:pPr>
            <w:r>
              <w:rPr>
                <w:rFonts w:ascii="宋体" w:hAnsi="宋体" w:eastAsia="宋体"/>
                <w:sz w:val="16"/>
              </w:rPr>
              <w:t>-</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06002982">
            <w:pPr>
              <w:jc w:val="center"/>
            </w:pPr>
            <w:r>
              <w:rPr>
                <w:rFonts w:ascii="宋体" w:hAnsi="宋体" w:eastAsia="宋体"/>
                <w:sz w:val="16"/>
              </w:rPr>
              <w:t>-</w:t>
            </w:r>
          </w:p>
        </w:tc>
      </w:tr>
      <w:tr w14:paraId="455C966F">
        <w:tblPrEx>
          <w:tblCellMar>
            <w:top w:w="0" w:type="dxa"/>
            <w:left w:w="108" w:type="dxa"/>
            <w:bottom w:w="0" w:type="dxa"/>
            <w:right w:w="108" w:type="dxa"/>
          </w:tblCellMar>
        </w:tblPrEx>
        <w:trPr>
          <w:trHeight w:val="291" w:hRule="atLeast"/>
        </w:trPr>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499360B0"/>
        </w:tc>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756F5813"/>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1758C7FC">
            <w:pPr>
              <w:jc w:val="center"/>
            </w:pPr>
            <w:r>
              <w:rPr>
                <w:rFonts w:ascii="宋体" w:hAnsi="宋体" w:eastAsia="宋体"/>
                <w:sz w:val="16"/>
              </w:rPr>
              <w:t>本级安排（万元）</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0B55A6A7">
            <w:pPr>
              <w:jc w:val="center"/>
            </w:pPr>
            <w:r>
              <w:rPr>
                <w:rFonts w:ascii="宋体" w:hAnsi="宋体" w:eastAsia="宋体"/>
                <w:sz w:val="16"/>
              </w:rPr>
              <w:t>516.04</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0FCB715B">
            <w:pPr>
              <w:jc w:val="center"/>
            </w:pPr>
            <w:r>
              <w:rPr>
                <w:rFonts w:ascii="宋体" w:hAnsi="宋体" w:eastAsia="宋体"/>
                <w:sz w:val="16"/>
              </w:rPr>
              <w:t>666.01</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04821A60">
            <w:pPr>
              <w:jc w:val="center"/>
            </w:pPr>
            <w:r>
              <w:rPr>
                <w:rFonts w:ascii="宋体" w:hAnsi="宋体" w:eastAsia="宋体"/>
                <w:sz w:val="16"/>
              </w:rPr>
              <w:t>666.01</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4444F340">
            <w:pPr>
              <w:jc w:val="center"/>
            </w:pPr>
            <w:r>
              <w:rPr>
                <w:rFonts w:ascii="宋体" w:hAnsi="宋体" w:eastAsia="宋体"/>
                <w:sz w:val="16"/>
              </w:rPr>
              <w:t>-</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485FD40D">
            <w:pPr>
              <w:jc w:val="center"/>
            </w:pPr>
            <w:r>
              <w:rPr>
                <w:rFonts w:ascii="宋体" w:hAnsi="宋体" w:eastAsia="宋体"/>
                <w:sz w:val="16"/>
              </w:rPr>
              <w:t>-</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327960CA">
            <w:pPr>
              <w:jc w:val="center"/>
            </w:pPr>
            <w:r>
              <w:rPr>
                <w:rFonts w:ascii="宋体" w:hAnsi="宋体" w:eastAsia="宋体"/>
                <w:sz w:val="16"/>
              </w:rPr>
              <w:t>-</w:t>
            </w:r>
          </w:p>
        </w:tc>
      </w:tr>
      <w:tr w14:paraId="61E15AE0">
        <w:tblPrEx>
          <w:tblCellMar>
            <w:top w:w="0" w:type="dxa"/>
            <w:left w:w="108" w:type="dxa"/>
            <w:bottom w:w="0" w:type="dxa"/>
            <w:right w:w="108" w:type="dxa"/>
          </w:tblCellMar>
        </w:tblPrEx>
        <w:trPr>
          <w:trHeight w:val="291" w:hRule="atLeast"/>
        </w:trPr>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5297DCB1"/>
        </w:tc>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31B92095"/>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1F75074">
            <w:pPr>
              <w:jc w:val="center"/>
            </w:pPr>
            <w:r>
              <w:rPr>
                <w:rFonts w:ascii="宋体" w:hAnsi="宋体" w:eastAsia="宋体"/>
                <w:sz w:val="16"/>
              </w:rPr>
              <w:t>其他资金（万元）</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03E48A28">
            <w:pPr>
              <w:jc w:val="center"/>
            </w:pPr>
            <w:r>
              <w:rPr>
                <w:rFonts w:ascii="宋体" w:hAnsi="宋体" w:eastAsia="宋体"/>
                <w:sz w:val="16"/>
              </w:rPr>
              <w:t>0.00</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19892CA">
            <w:pPr>
              <w:jc w:val="center"/>
            </w:pPr>
            <w:r>
              <w:rPr>
                <w:rFonts w:ascii="宋体" w:hAnsi="宋体" w:eastAsia="宋体"/>
                <w:sz w:val="16"/>
              </w:rPr>
              <w:t>2.50</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4A4685AD">
            <w:pPr>
              <w:jc w:val="center"/>
            </w:pPr>
            <w:r>
              <w:rPr>
                <w:rFonts w:ascii="宋体" w:hAnsi="宋体" w:eastAsia="宋体"/>
                <w:sz w:val="16"/>
              </w:rPr>
              <w:t>2.50</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5FDCA581">
            <w:pPr>
              <w:jc w:val="center"/>
            </w:pPr>
            <w:r>
              <w:rPr>
                <w:rFonts w:ascii="宋体" w:hAnsi="宋体" w:eastAsia="宋体"/>
                <w:sz w:val="16"/>
              </w:rPr>
              <w:t>-</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C77D74B">
            <w:pPr>
              <w:jc w:val="center"/>
            </w:pPr>
            <w:r>
              <w:rPr>
                <w:rFonts w:ascii="宋体" w:hAnsi="宋体" w:eastAsia="宋体"/>
                <w:sz w:val="16"/>
              </w:rPr>
              <w:t>-</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183A5401">
            <w:pPr>
              <w:jc w:val="center"/>
            </w:pPr>
            <w:r>
              <w:rPr>
                <w:rFonts w:ascii="宋体" w:hAnsi="宋体" w:eastAsia="宋体"/>
                <w:sz w:val="16"/>
              </w:rPr>
              <w:t>-</w:t>
            </w:r>
          </w:p>
        </w:tc>
      </w:tr>
      <w:tr w14:paraId="655465D6">
        <w:tblPrEx>
          <w:tblCellMar>
            <w:top w:w="0" w:type="dxa"/>
            <w:left w:w="108" w:type="dxa"/>
            <w:bottom w:w="0" w:type="dxa"/>
            <w:right w:w="108" w:type="dxa"/>
          </w:tblCellMar>
        </w:tblPrEx>
        <w:trPr>
          <w:trHeight w:val="151" w:hRule="atLeast"/>
        </w:trPr>
        <w:tc>
          <w:tcPr>
            <w:tcW w:w="10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9C57FF">
            <w:pPr>
              <w:jc w:val="center"/>
            </w:pPr>
            <w:r>
              <w:rPr>
                <w:rFonts w:ascii="宋体" w:hAnsi="宋体" w:eastAsia="宋体"/>
                <w:sz w:val="16"/>
              </w:rPr>
              <w:t>年度总体目标</w:t>
            </w:r>
          </w:p>
        </w:tc>
        <w:tc>
          <w:tcPr>
            <w:tcW w:w="305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694FCC5">
            <w:pPr>
              <w:jc w:val="center"/>
            </w:pPr>
            <w:r>
              <w:rPr>
                <w:rFonts w:ascii="宋体" w:hAnsi="宋体" w:eastAsia="宋体"/>
                <w:sz w:val="16"/>
              </w:rPr>
              <w:t>预期目标</w:t>
            </w:r>
          </w:p>
        </w:tc>
        <w:tc>
          <w:tcPr>
            <w:tcW w:w="509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561C53">
            <w:pPr>
              <w:jc w:val="center"/>
            </w:pPr>
            <w:r>
              <w:rPr>
                <w:rFonts w:ascii="宋体" w:hAnsi="宋体" w:eastAsia="宋体"/>
                <w:sz w:val="16"/>
              </w:rPr>
              <w:t>实际完成情况</w:t>
            </w:r>
          </w:p>
        </w:tc>
      </w:tr>
      <w:tr w14:paraId="289C1EB7">
        <w:tblPrEx>
          <w:tblCellMar>
            <w:top w:w="0" w:type="dxa"/>
            <w:left w:w="108" w:type="dxa"/>
            <w:bottom w:w="0" w:type="dxa"/>
            <w:right w:w="108" w:type="dxa"/>
          </w:tblCellMar>
        </w:tblPrEx>
        <w:trPr>
          <w:trHeight w:val="1408" w:hRule="atLeast"/>
        </w:trPr>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57B0BE2D"/>
        </w:tc>
        <w:tc>
          <w:tcPr>
            <w:tcW w:w="305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ABB30D7">
            <w:pPr>
              <w:jc w:val="both"/>
            </w:pPr>
            <w:r>
              <w:rPr>
                <w:rFonts w:ascii="宋体" w:hAnsi="宋体" w:eastAsia="宋体"/>
                <w:sz w:val="16"/>
              </w:rPr>
              <w:t>支持和监督政法单位依法行使职权，检查政法单位执行党的路线方针政策、党中央重大决策部署和国家法律法规的情况，指导和协调政法单位密切配合，研究和协调重大疑难案件，完善与纪检监察机关工作衔接和协作配合机制，推进严格执法、公正司法。加强对政法工作的监督，统筹协调社会治安综合治理、维护社会稳定、反邪教、反恐怖等有关国家法律法规和政策的实施工作。</w:t>
            </w:r>
          </w:p>
        </w:tc>
        <w:tc>
          <w:tcPr>
            <w:tcW w:w="509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2E696A">
            <w:pPr>
              <w:jc w:val="both"/>
            </w:pPr>
            <w:r>
              <w:rPr>
                <w:rFonts w:ascii="宋体" w:hAnsi="宋体" w:eastAsia="宋体"/>
                <w:sz w:val="16"/>
              </w:rPr>
              <w:t>2024年我单位预算数516.04万元，全年执行数666.01万元，安装视频监控约200个，开展法治宣传教育约50次，完成全县综治考评单位数量约30个，业务指导部门单位约50个。监控的存在对潜在的不法分子具有震慑作用，法治宣传教育，提高全民素质，推进依法治国基本方略。开展业务指导，能够使工作更好</w:t>
            </w:r>
            <w:r>
              <w:rPr>
                <w:rFonts w:hint="eastAsia" w:ascii="宋体" w:hAnsi="宋体"/>
                <w:sz w:val="16"/>
                <w:lang w:eastAsia="zh-CN"/>
              </w:rPr>
              <w:t>地</w:t>
            </w:r>
            <w:r>
              <w:rPr>
                <w:rFonts w:ascii="宋体" w:hAnsi="宋体" w:eastAsia="宋体"/>
                <w:sz w:val="16"/>
              </w:rPr>
              <w:t>聚焦目标，快速准确完成任务。</w:t>
            </w:r>
          </w:p>
        </w:tc>
      </w:tr>
      <w:tr w14:paraId="48E74E3E">
        <w:tblPrEx>
          <w:tblCellMar>
            <w:top w:w="0" w:type="dxa"/>
            <w:left w:w="108" w:type="dxa"/>
            <w:bottom w:w="0" w:type="dxa"/>
            <w:right w:w="108" w:type="dxa"/>
          </w:tblCellMar>
        </w:tblPrEx>
        <w:trPr>
          <w:trHeight w:val="291" w:hRule="atLeast"/>
        </w:trPr>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382FBD1">
            <w:pPr>
              <w:jc w:val="center"/>
            </w:pPr>
            <w:r>
              <w:rPr>
                <w:rFonts w:ascii="宋体" w:hAnsi="宋体" w:eastAsia="宋体"/>
                <w:sz w:val="16"/>
              </w:rPr>
              <w:t>一级指标</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02992802">
            <w:pPr>
              <w:jc w:val="center"/>
            </w:pPr>
            <w:r>
              <w:rPr>
                <w:rFonts w:ascii="宋体" w:hAnsi="宋体" w:eastAsia="宋体"/>
                <w:sz w:val="16"/>
              </w:rPr>
              <w:t>二级指标</w:t>
            </w:r>
          </w:p>
        </w:tc>
        <w:tc>
          <w:tcPr>
            <w:tcW w:w="20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626A7">
            <w:pPr>
              <w:jc w:val="center"/>
            </w:pPr>
            <w:r>
              <w:rPr>
                <w:rFonts w:ascii="宋体" w:hAnsi="宋体" w:eastAsia="宋体"/>
                <w:sz w:val="16"/>
              </w:rPr>
              <w:t>三级指标</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4D93479F">
            <w:pPr>
              <w:jc w:val="center"/>
            </w:pPr>
            <w:r>
              <w:rPr>
                <w:rFonts w:ascii="宋体" w:hAnsi="宋体" w:eastAsia="宋体"/>
                <w:sz w:val="16"/>
              </w:rPr>
              <w:t>预期指标值</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13862235">
            <w:pPr>
              <w:jc w:val="center"/>
            </w:pPr>
            <w:r>
              <w:rPr>
                <w:rFonts w:ascii="宋体" w:hAnsi="宋体" w:eastAsia="宋体"/>
                <w:sz w:val="16"/>
              </w:rPr>
              <w:t>指标值设定依据</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22016FD">
            <w:pPr>
              <w:jc w:val="center"/>
            </w:pPr>
            <w:r>
              <w:rPr>
                <w:rFonts w:ascii="宋体" w:hAnsi="宋体" w:eastAsia="宋体"/>
                <w:sz w:val="16"/>
              </w:rPr>
              <w:t>分值权重</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73DB84A5">
            <w:pPr>
              <w:jc w:val="center"/>
            </w:pPr>
            <w:r>
              <w:rPr>
                <w:rFonts w:ascii="宋体" w:hAnsi="宋体" w:eastAsia="宋体"/>
                <w:sz w:val="16"/>
              </w:rPr>
              <w:t>实际完成指标值</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655B6C5B">
            <w:pPr>
              <w:jc w:val="center"/>
            </w:pPr>
            <w:r>
              <w:rPr>
                <w:rFonts w:ascii="宋体" w:hAnsi="宋体" w:eastAsia="宋体"/>
                <w:sz w:val="16"/>
              </w:rPr>
              <w:t>得分</w:t>
            </w:r>
          </w:p>
        </w:tc>
      </w:tr>
      <w:tr w14:paraId="2E1D760D">
        <w:tblPrEx>
          <w:tblCellMar>
            <w:top w:w="0" w:type="dxa"/>
            <w:left w:w="108" w:type="dxa"/>
            <w:bottom w:w="0" w:type="dxa"/>
            <w:right w:w="108" w:type="dxa"/>
          </w:tblCellMar>
        </w:tblPrEx>
        <w:trPr>
          <w:trHeight w:val="570" w:hRule="atLeast"/>
        </w:trPr>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23A40791">
            <w:pPr>
              <w:jc w:val="center"/>
            </w:pPr>
            <w:r>
              <w:rPr>
                <w:rFonts w:ascii="宋体" w:hAnsi="宋体" w:eastAsia="宋体"/>
                <w:sz w:val="16"/>
              </w:rPr>
              <w:t>管理效率</w:t>
            </w:r>
          </w:p>
        </w:tc>
        <w:tc>
          <w:tcPr>
            <w:tcW w:w="10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FAC26">
            <w:pPr>
              <w:jc w:val="center"/>
            </w:pPr>
            <w:r>
              <w:rPr>
                <w:rFonts w:ascii="宋体" w:hAnsi="宋体" w:eastAsia="宋体"/>
                <w:sz w:val="16"/>
              </w:rPr>
              <w:t>数量指标</w:t>
            </w:r>
          </w:p>
        </w:tc>
        <w:tc>
          <w:tcPr>
            <w:tcW w:w="20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6B170">
            <w:pPr>
              <w:jc w:val="center"/>
            </w:pPr>
            <w:r>
              <w:rPr>
                <w:rFonts w:ascii="宋体" w:hAnsi="宋体" w:eastAsia="宋体"/>
                <w:sz w:val="16"/>
              </w:rPr>
              <w:t>视频监控数量</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7E397E42">
            <w:pPr>
              <w:jc w:val="center"/>
            </w:pPr>
            <w:r>
              <w:rPr>
                <w:rFonts w:ascii="宋体" w:hAnsi="宋体" w:eastAsia="宋体"/>
                <w:sz w:val="16"/>
              </w:rPr>
              <w:t>&gt;=200个</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41DFED58">
            <w:pPr>
              <w:jc w:val="center"/>
            </w:pPr>
            <w:r>
              <w:rPr>
                <w:rFonts w:ascii="宋体" w:hAnsi="宋体" w:eastAsia="宋体"/>
                <w:sz w:val="16"/>
              </w:rPr>
              <w:t>政法委视频监控采购及安装设备</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03011718">
            <w:pPr>
              <w:jc w:val="center"/>
            </w:pPr>
            <w:r>
              <w:rPr>
                <w:rFonts w:ascii="宋体" w:hAnsi="宋体" w:eastAsia="宋体"/>
                <w:sz w:val="16"/>
              </w:rPr>
              <w:t>20</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7775A159">
            <w:pPr>
              <w:jc w:val="center"/>
            </w:pPr>
            <w:r>
              <w:rPr>
                <w:rFonts w:ascii="宋体" w:hAnsi="宋体" w:eastAsia="宋体"/>
                <w:sz w:val="16"/>
              </w:rPr>
              <w:t>200个</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6D9A31E6">
            <w:pPr>
              <w:jc w:val="center"/>
            </w:pPr>
            <w:r>
              <w:rPr>
                <w:rFonts w:ascii="宋体" w:hAnsi="宋体" w:eastAsia="宋体"/>
                <w:sz w:val="16"/>
              </w:rPr>
              <w:t>20</w:t>
            </w:r>
          </w:p>
        </w:tc>
      </w:tr>
      <w:tr w14:paraId="18F75345">
        <w:tblPrEx>
          <w:tblCellMar>
            <w:top w:w="0" w:type="dxa"/>
            <w:left w:w="108" w:type="dxa"/>
            <w:bottom w:w="0" w:type="dxa"/>
            <w:right w:w="108" w:type="dxa"/>
          </w:tblCellMar>
        </w:tblPrEx>
        <w:trPr>
          <w:trHeight w:val="431" w:hRule="atLeast"/>
        </w:trPr>
        <w:tc>
          <w:tcPr>
            <w:tcW w:w="10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833E0">
            <w:pPr>
              <w:jc w:val="center"/>
            </w:pPr>
            <w:r>
              <w:rPr>
                <w:rFonts w:ascii="宋体" w:hAnsi="宋体" w:eastAsia="宋体"/>
                <w:sz w:val="16"/>
              </w:rPr>
              <w:t>履职效能</w:t>
            </w:r>
          </w:p>
        </w:tc>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4D78FB5A"/>
        </w:tc>
        <w:tc>
          <w:tcPr>
            <w:tcW w:w="20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7C7C1">
            <w:pPr>
              <w:jc w:val="center"/>
            </w:pPr>
            <w:r>
              <w:rPr>
                <w:rFonts w:ascii="宋体" w:hAnsi="宋体" w:eastAsia="宋体"/>
                <w:sz w:val="16"/>
              </w:rPr>
              <w:t>开展</w:t>
            </w:r>
            <w:r>
              <w:rPr>
                <w:rFonts w:hint="eastAsia" w:ascii="宋体" w:hAnsi="宋体"/>
                <w:sz w:val="16"/>
                <w:lang w:eastAsia="zh-CN"/>
              </w:rPr>
              <w:t>法治宣传教育</w:t>
            </w:r>
            <w:r>
              <w:rPr>
                <w:rFonts w:ascii="宋体" w:hAnsi="宋体" w:eastAsia="宋体"/>
                <w:sz w:val="16"/>
              </w:rPr>
              <w:t>次数</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5F24A37C">
            <w:pPr>
              <w:jc w:val="center"/>
            </w:pPr>
            <w:r>
              <w:rPr>
                <w:rFonts w:ascii="宋体" w:hAnsi="宋体" w:eastAsia="宋体"/>
                <w:sz w:val="16"/>
              </w:rPr>
              <w:t>&gt;=50次</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2FDA3413">
            <w:pPr>
              <w:jc w:val="center"/>
            </w:pPr>
            <w:r>
              <w:rPr>
                <w:rFonts w:ascii="宋体" w:hAnsi="宋体" w:eastAsia="宋体"/>
                <w:sz w:val="16"/>
              </w:rPr>
              <w:t>年度工作总结及计划</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76286D76">
            <w:pPr>
              <w:jc w:val="center"/>
            </w:pPr>
            <w:r>
              <w:rPr>
                <w:rFonts w:ascii="宋体" w:hAnsi="宋体" w:eastAsia="宋体"/>
                <w:sz w:val="16"/>
              </w:rPr>
              <w:t>20</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5BB0FC73">
            <w:pPr>
              <w:jc w:val="center"/>
            </w:pPr>
            <w:r>
              <w:rPr>
                <w:rFonts w:ascii="宋体" w:hAnsi="宋体" w:eastAsia="宋体"/>
                <w:sz w:val="16"/>
              </w:rPr>
              <w:t>50个</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020B941D">
            <w:pPr>
              <w:jc w:val="center"/>
            </w:pPr>
            <w:r>
              <w:rPr>
                <w:rFonts w:ascii="宋体" w:hAnsi="宋体" w:eastAsia="宋体"/>
                <w:sz w:val="16"/>
              </w:rPr>
              <w:t>20</w:t>
            </w:r>
          </w:p>
        </w:tc>
      </w:tr>
      <w:tr w14:paraId="2FCEB053">
        <w:tblPrEx>
          <w:tblCellMar>
            <w:top w:w="0" w:type="dxa"/>
            <w:left w:w="108" w:type="dxa"/>
            <w:bottom w:w="0" w:type="dxa"/>
            <w:right w:w="108" w:type="dxa"/>
          </w:tblCellMar>
        </w:tblPrEx>
        <w:trPr>
          <w:trHeight w:val="431" w:hRule="atLeast"/>
        </w:trPr>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28E677A3"/>
        </w:tc>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256B9945"/>
        </w:tc>
        <w:tc>
          <w:tcPr>
            <w:tcW w:w="20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0CB5D">
            <w:pPr>
              <w:jc w:val="center"/>
            </w:pPr>
            <w:r>
              <w:rPr>
                <w:rFonts w:ascii="宋体" w:hAnsi="宋体" w:eastAsia="宋体"/>
                <w:sz w:val="16"/>
              </w:rPr>
              <w:t>完成全县综治考评单位数量</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5224F001">
            <w:pPr>
              <w:jc w:val="center"/>
            </w:pPr>
            <w:r>
              <w:rPr>
                <w:rFonts w:ascii="宋体" w:hAnsi="宋体" w:eastAsia="宋体"/>
                <w:sz w:val="16"/>
              </w:rPr>
              <w:t>&gt;=30个</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F52B221">
            <w:pPr>
              <w:jc w:val="center"/>
            </w:pPr>
            <w:r>
              <w:rPr>
                <w:rFonts w:ascii="宋体" w:hAnsi="宋体" w:eastAsia="宋体"/>
                <w:sz w:val="16"/>
              </w:rPr>
              <w:t>年度工作总结及计划</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2939E557">
            <w:pPr>
              <w:jc w:val="center"/>
            </w:pPr>
            <w:r>
              <w:rPr>
                <w:rFonts w:ascii="宋体" w:hAnsi="宋体" w:eastAsia="宋体"/>
                <w:sz w:val="16"/>
              </w:rPr>
              <w:t>25</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13C3E938">
            <w:pPr>
              <w:jc w:val="center"/>
            </w:pPr>
            <w:r>
              <w:rPr>
                <w:rFonts w:ascii="宋体" w:hAnsi="宋体" w:eastAsia="宋体"/>
                <w:sz w:val="16"/>
              </w:rPr>
              <w:t>30个</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6CC44F87">
            <w:pPr>
              <w:jc w:val="center"/>
            </w:pPr>
            <w:r>
              <w:rPr>
                <w:rFonts w:ascii="宋体" w:hAnsi="宋体" w:eastAsia="宋体"/>
                <w:sz w:val="16"/>
              </w:rPr>
              <w:t>25</w:t>
            </w:r>
          </w:p>
        </w:tc>
      </w:tr>
      <w:tr w14:paraId="300BAE5D">
        <w:tblPrEx>
          <w:tblCellMar>
            <w:top w:w="0" w:type="dxa"/>
            <w:left w:w="108" w:type="dxa"/>
            <w:bottom w:w="0" w:type="dxa"/>
            <w:right w:w="108" w:type="dxa"/>
          </w:tblCellMar>
        </w:tblPrEx>
        <w:trPr>
          <w:trHeight w:val="302" w:hRule="atLeast"/>
        </w:trPr>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6B5336A8"/>
        </w:tc>
        <w:tc>
          <w:tcPr>
            <w:tcW w:w="1017" w:type="dxa"/>
            <w:vMerge w:val="continue"/>
            <w:tcBorders>
              <w:top w:val="single" w:color="auto" w:sz="10" w:space="0"/>
              <w:left w:val="single" w:color="auto" w:sz="10" w:space="0"/>
              <w:bottom w:val="single" w:color="auto" w:sz="10" w:space="0"/>
              <w:right w:val="single" w:color="auto" w:sz="10" w:space="0"/>
              <w:insideV w:val="single" w:sz="10" w:space="0"/>
            </w:tcBorders>
          </w:tcPr>
          <w:p w14:paraId="0E3ED4C4"/>
        </w:tc>
        <w:tc>
          <w:tcPr>
            <w:tcW w:w="20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CC19C">
            <w:pPr>
              <w:jc w:val="center"/>
            </w:pPr>
            <w:r>
              <w:rPr>
                <w:rFonts w:ascii="宋体" w:hAnsi="宋体" w:eastAsia="宋体"/>
                <w:sz w:val="16"/>
              </w:rPr>
              <w:t>业务指导部门单位数量</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0F9D20CB">
            <w:pPr>
              <w:jc w:val="center"/>
            </w:pPr>
            <w:r>
              <w:rPr>
                <w:rFonts w:ascii="宋体" w:hAnsi="宋体" w:eastAsia="宋体"/>
                <w:sz w:val="16"/>
              </w:rPr>
              <w:t>&gt;=50个</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632FFC7B">
            <w:pPr>
              <w:jc w:val="center"/>
            </w:pPr>
            <w:r>
              <w:rPr>
                <w:rFonts w:ascii="宋体" w:hAnsi="宋体" w:eastAsia="宋体"/>
                <w:sz w:val="16"/>
              </w:rPr>
              <w:t>年度工作总结及计划</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51B1F8DE">
            <w:pPr>
              <w:jc w:val="center"/>
            </w:pPr>
            <w:r>
              <w:rPr>
                <w:rFonts w:ascii="宋体" w:hAnsi="宋体" w:eastAsia="宋体"/>
                <w:sz w:val="16"/>
              </w:rPr>
              <w:t>25</w:t>
            </w:r>
          </w:p>
        </w:tc>
        <w:tc>
          <w:tcPr>
            <w:tcW w:w="1017" w:type="dxa"/>
            <w:tcBorders>
              <w:top w:val="single" w:color="auto" w:sz="10" w:space="0"/>
              <w:left w:val="single" w:color="auto" w:sz="10" w:space="0"/>
              <w:bottom w:val="single" w:color="auto" w:sz="10" w:space="0"/>
              <w:right w:val="single" w:color="auto" w:sz="10" w:space="0"/>
              <w:insideV w:val="single" w:sz="10" w:space="0"/>
            </w:tcBorders>
            <w:vAlign w:val="center"/>
          </w:tcPr>
          <w:p w14:paraId="35197278">
            <w:pPr>
              <w:jc w:val="center"/>
            </w:pPr>
            <w:r>
              <w:rPr>
                <w:rFonts w:ascii="宋体" w:hAnsi="宋体" w:eastAsia="宋体"/>
                <w:sz w:val="16"/>
              </w:rPr>
              <w:t>50个</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20B207EA">
            <w:pPr>
              <w:jc w:val="center"/>
            </w:pPr>
            <w:r>
              <w:rPr>
                <w:rFonts w:ascii="宋体" w:hAnsi="宋体" w:eastAsia="宋体"/>
                <w:sz w:val="16"/>
              </w:rPr>
              <w:t>25</w:t>
            </w:r>
          </w:p>
        </w:tc>
      </w:tr>
    </w:tbl>
    <w:p w14:paraId="2732D98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28B336AC">
        <w:tblPrEx>
          <w:tblCellMar>
            <w:top w:w="0" w:type="dxa"/>
            <w:left w:w="108" w:type="dxa"/>
            <w:bottom w:w="0" w:type="dxa"/>
            <w:right w:w="108" w:type="dxa"/>
          </w:tblCellMar>
        </w:tblPrEx>
        <w:tc>
          <w:tcPr>
            <w:tcW w:w="8848" w:type="dxa"/>
            <w:gridSpan w:val="14"/>
            <w:vAlign w:val="center"/>
          </w:tcPr>
          <w:p w14:paraId="26992205">
            <w:pPr>
              <w:jc w:val="center"/>
            </w:pPr>
            <w:r>
              <w:rPr>
                <w:rFonts w:ascii="宋体" w:hAnsi="宋体" w:eastAsia="宋体"/>
                <w:sz w:val="24"/>
              </w:rPr>
              <w:t>项目支出绩效自评表</w:t>
            </w:r>
          </w:p>
        </w:tc>
      </w:tr>
      <w:tr w14:paraId="231BC8AE">
        <w:tblPrEx>
          <w:tblCellMar>
            <w:top w:w="0" w:type="dxa"/>
            <w:left w:w="108" w:type="dxa"/>
            <w:bottom w:w="0" w:type="dxa"/>
            <w:right w:w="108" w:type="dxa"/>
          </w:tblCellMar>
        </w:tblPrEx>
        <w:tc>
          <w:tcPr>
            <w:tcW w:w="8848" w:type="dxa"/>
            <w:gridSpan w:val="14"/>
            <w:vAlign w:val="center"/>
          </w:tcPr>
          <w:p w14:paraId="56BC40A8">
            <w:pPr>
              <w:jc w:val="center"/>
            </w:pPr>
            <w:r>
              <w:rPr>
                <w:rFonts w:ascii="宋体" w:hAnsi="宋体" w:eastAsia="宋体"/>
                <w:sz w:val="24"/>
              </w:rPr>
              <w:t>(2024年度)</w:t>
            </w:r>
          </w:p>
        </w:tc>
      </w:tr>
      <w:tr w14:paraId="265CB0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281C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D18752">
            <w:pPr>
              <w:jc w:val="center"/>
            </w:pPr>
            <w:r>
              <w:rPr>
                <w:rFonts w:ascii="宋体" w:hAnsi="宋体" w:eastAsia="宋体"/>
                <w:sz w:val="16"/>
              </w:rPr>
              <w:t>电信天翼对讲机通讯服务费</w:t>
            </w:r>
          </w:p>
        </w:tc>
      </w:tr>
      <w:tr w14:paraId="02CE97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7287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DA0AE7">
            <w:pPr>
              <w:jc w:val="center"/>
            </w:pPr>
            <w:r>
              <w:rPr>
                <w:rFonts w:ascii="宋体" w:hAnsi="宋体" w:eastAsia="宋体"/>
                <w:sz w:val="16"/>
              </w:rPr>
              <w:t>中共且末县委员会政法委员会本级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43E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6C5E5F">
            <w:pPr>
              <w:jc w:val="center"/>
            </w:pPr>
            <w:r>
              <w:rPr>
                <w:rFonts w:ascii="宋体" w:hAnsi="宋体" w:eastAsia="宋体"/>
                <w:sz w:val="16"/>
              </w:rPr>
              <w:t>中共且末县委员会政法委员会本级</w:t>
            </w:r>
          </w:p>
        </w:tc>
      </w:tr>
      <w:tr w14:paraId="0626874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FC969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87D8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7D3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1BB3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3724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D763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3CF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FD4A5">
            <w:pPr>
              <w:jc w:val="center"/>
            </w:pPr>
            <w:r>
              <w:rPr>
                <w:rFonts w:ascii="宋体" w:hAnsi="宋体" w:eastAsia="宋体"/>
                <w:sz w:val="16"/>
              </w:rPr>
              <w:t>得分</w:t>
            </w:r>
          </w:p>
        </w:tc>
      </w:tr>
      <w:tr w14:paraId="2FF605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118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50D1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17EB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5935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9B65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7327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E172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E9AD3">
            <w:pPr>
              <w:jc w:val="center"/>
            </w:pPr>
            <w:r>
              <w:rPr>
                <w:rFonts w:ascii="宋体" w:hAnsi="宋体" w:eastAsia="宋体"/>
                <w:sz w:val="16"/>
              </w:rPr>
              <w:t>10.00</w:t>
            </w:r>
          </w:p>
        </w:tc>
      </w:tr>
      <w:tr w14:paraId="011964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0C7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B00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57CD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E33C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544C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E19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91E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09A9">
            <w:pPr>
              <w:jc w:val="center"/>
            </w:pPr>
            <w:r>
              <w:rPr>
                <w:rFonts w:ascii="宋体" w:hAnsi="宋体" w:eastAsia="宋体"/>
                <w:sz w:val="16"/>
              </w:rPr>
              <w:t>-</w:t>
            </w:r>
          </w:p>
        </w:tc>
      </w:tr>
      <w:tr w14:paraId="51D8E2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C8E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505C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7F1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CD2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526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BF9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E8D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E7762">
            <w:pPr>
              <w:jc w:val="center"/>
            </w:pPr>
            <w:r>
              <w:rPr>
                <w:rFonts w:ascii="宋体" w:hAnsi="宋体" w:eastAsia="宋体"/>
                <w:sz w:val="16"/>
              </w:rPr>
              <w:t>-</w:t>
            </w:r>
          </w:p>
        </w:tc>
      </w:tr>
      <w:tr w14:paraId="4BBD08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24FD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0DB27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E47C1E">
            <w:pPr>
              <w:jc w:val="center"/>
            </w:pPr>
            <w:r>
              <w:rPr>
                <w:rFonts w:ascii="宋体" w:hAnsi="宋体" w:eastAsia="宋体"/>
                <w:sz w:val="16"/>
              </w:rPr>
              <w:t>总体目标完成情况</w:t>
            </w:r>
          </w:p>
        </w:tc>
      </w:tr>
      <w:tr w14:paraId="1CE4DC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5173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E26394">
            <w:pPr>
              <w:jc w:val="both"/>
            </w:pPr>
            <w:r>
              <w:rPr>
                <w:rFonts w:ascii="宋体" w:hAnsi="宋体" w:eastAsia="宋体"/>
                <w:sz w:val="16"/>
              </w:rPr>
              <w:t>综治社联网是中央部署“雪亮工程”的重大项目，是全国综治工作的基本抓手和工具，是提升社会治理 现代化、智能化水平的基础工程，是综治中心建设的重要平台。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761813">
            <w:pPr>
              <w:jc w:val="both"/>
            </w:pPr>
            <w:r>
              <w:rPr>
                <w:rFonts w:ascii="宋体" w:hAnsi="宋体" w:eastAsia="宋体"/>
                <w:sz w:val="16"/>
              </w:rPr>
              <w:t>在2024年执行重大</w:t>
            </w:r>
            <w:r>
              <w:rPr>
                <w:rFonts w:hint="eastAsia" w:ascii="宋体" w:hAnsi="宋体"/>
                <w:sz w:val="16"/>
                <w:lang w:eastAsia="zh-CN"/>
              </w:rPr>
              <w:t>WW</w:t>
            </w:r>
            <w:r>
              <w:rPr>
                <w:rFonts w:ascii="宋体" w:hAnsi="宋体" w:eastAsia="宋体"/>
                <w:sz w:val="16"/>
              </w:rPr>
              <w:t>业务通信保障任务</w:t>
            </w:r>
            <w:r>
              <w:rPr>
                <w:rFonts w:hint="eastAsia" w:ascii="宋体" w:hAnsi="宋体"/>
                <w:sz w:val="16"/>
                <w:lang w:eastAsia="zh-CN"/>
              </w:rPr>
              <w:t>多达</w:t>
            </w:r>
            <w:r>
              <w:rPr>
                <w:rFonts w:ascii="宋体" w:hAnsi="宋体" w:eastAsia="宋体"/>
                <w:sz w:val="16"/>
              </w:rPr>
              <w:t>上千次，在这些任务中，天翼对讲机</w:t>
            </w:r>
            <w:r>
              <w:rPr>
                <w:rFonts w:hint="eastAsia" w:ascii="宋体" w:hAnsi="宋体"/>
                <w:sz w:val="16"/>
                <w:lang w:eastAsia="zh-CN"/>
              </w:rPr>
              <w:t>为</w:t>
            </w:r>
            <w:r>
              <w:rPr>
                <w:rFonts w:ascii="宋体" w:hAnsi="宋体" w:eastAsia="宋体"/>
                <w:sz w:val="16"/>
              </w:rPr>
              <w:t>应急通信队伍以及安全点位调度提供了可靠的通信保障，确保队员与队员之间，队员与上级之间的及时沟通和协调，助力保障任务高质量完成。</w:t>
            </w:r>
          </w:p>
        </w:tc>
      </w:tr>
      <w:tr w14:paraId="0E7BD4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64D4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A61D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5535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EAEB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5A15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32E8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C07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574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900D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7B0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19B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A894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C8B3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05CC8">
            <w:pPr>
              <w:jc w:val="center"/>
            </w:pPr>
            <w:r>
              <w:rPr>
                <w:rFonts w:ascii="宋体" w:hAnsi="宋体" w:eastAsia="宋体"/>
                <w:sz w:val="16"/>
              </w:rPr>
              <w:t>偏差原因分析及改进措施</w:t>
            </w:r>
          </w:p>
        </w:tc>
      </w:tr>
      <w:tr w14:paraId="117CEE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7C89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49249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863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597CD">
            <w:pPr>
              <w:jc w:val="center"/>
            </w:pPr>
            <w:r>
              <w:rPr>
                <w:rFonts w:ascii="宋体" w:hAnsi="宋体" w:eastAsia="宋体"/>
                <w:sz w:val="16"/>
              </w:rPr>
              <w:t>对讲机配置数量（个、件等）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3AA6E">
            <w:pPr>
              <w:jc w:val="center"/>
            </w:pPr>
            <w:r>
              <w:rPr>
                <w:rFonts w:ascii="宋体" w:hAnsi="宋体" w:eastAsia="宋体"/>
                <w:sz w:val="16"/>
              </w:rPr>
              <w:t>&gt;=494部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6BA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7E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6D5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51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885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08829">
            <w:pPr>
              <w:jc w:val="center"/>
            </w:pPr>
            <w:r>
              <w:rPr>
                <w:rFonts w:ascii="宋体" w:hAnsi="宋体" w:eastAsia="宋体"/>
                <w:sz w:val="16"/>
              </w:rPr>
              <w:t>=494部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74B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90B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9CAB">
            <w:pPr>
              <w:jc w:val="center"/>
            </w:pPr>
          </w:p>
        </w:tc>
      </w:tr>
      <w:tr w14:paraId="1F10B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871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ADC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F7054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CA267">
            <w:pPr>
              <w:jc w:val="center"/>
            </w:pPr>
            <w:r>
              <w:rPr>
                <w:rFonts w:ascii="宋体" w:hAnsi="宋体" w:eastAsia="宋体"/>
                <w:sz w:val="16"/>
              </w:rPr>
              <w:t>对讲机使用率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3C70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FCA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474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865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CB3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283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E95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1F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81C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0B33A">
            <w:pPr>
              <w:jc w:val="center"/>
            </w:pPr>
          </w:p>
        </w:tc>
      </w:tr>
      <w:tr w14:paraId="2B2075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0B7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536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49F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31005">
            <w:pPr>
              <w:jc w:val="center"/>
            </w:pPr>
            <w:r>
              <w:rPr>
                <w:rFonts w:ascii="宋体" w:hAnsi="宋体" w:eastAsia="宋体"/>
                <w:sz w:val="16"/>
              </w:rPr>
              <w:t>设备故障率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A6FF9">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B050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54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E26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59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3AD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729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53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F87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A5B6">
            <w:pPr>
              <w:jc w:val="center"/>
            </w:pPr>
          </w:p>
        </w:tc>
      </w:tr>
      <w:tr w14:paraId="79B4B0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5CA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B8D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EA39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C5397">
            <w:pPr>
              <w:jc w:val="center"/>
            </w:pPr>
            <w:r>
              <w:rPr>
                <w:rFonts w:ascii="宋体" w:hAnsi="宋体" w:eastAsia="宋体"/>
                <w:sz w:val="16"/>
              </w:rPr>
              <w:t>网络故障修复处理时间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217E">
            <w:pPr>
              <w:jc w:val="center"/>
            </w:pPr>
            <w:r>
              <w:rPr>
                <w:rFonts w:ascii="宋体" w:hAnsi="宋体" w:eastAsia="宋体"/>
                <w:sz w:val="16"/>
              </w:rPr>
              <w:t>&lt;=3天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B881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9A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569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ABB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E18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9D7B9">
            <w:pPr>
              <w:jc w:val="center"/>
            </w:pPr>
            <w:r>
              <w:rPr>
                <w:rFonts w:ascii="宋体" w:hAnsi="宋体" w:eastAsia="宋体"/>
                <w:sz w:val="16"/>
              </w:rPr>
              <w: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6A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CD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06A84">
            <w:pPr>
              <w:jc w:val="center"/>
            </w:pPr>
          </w:p>
        </w:tc>
      </w:tr>
      <w:tr w14:paraId="571416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755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F74E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2EA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94B36">
            <w:pPr>
              <w:jc w:val="center"/>
            </w:pPr>
            <w:r>
              <w:rPr>
                <w:rFonts w:ascii="宋体" w:hAnsi="宋体" w:eastAsia="宋体"/>
                <w:sz w:val="16"/>
              </w:rPr>
              <w:t>购置手机卡单位购置成本（元/张/部）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CB145">
            <w:pPr>
              <w:jc w:val="center"/>
            </w:pPr>
            <w:r>
              <w:rPr>
                <w:rFonts w:ascii="宋体" w:hAnsi="宋体" w:eastAsia="宋体"/>
                <w:sz w:val="16"/>
              </w:rPr>
              <w:t>&lt;=59（元/月/部）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63B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3BC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22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E5F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1C7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8A94">
            <w:pPr>
              <w:jc w:val="center"/>
            </w:pPr>
            <w:r>
              <w:rPr>
                <w:rFonts w:ascii="宋体" w:hAnsi="宋体" w:eastAsia="宋体"/>
                <w:sz w:val="16"/>
              </w:rPr>
              <w:t>=59（元/月/部）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441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0B6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5E4E">
            <w:pPr>
              <w:jc w:val="center"/>
            </w:pPr>
          </w:p>
        </w:tc>
      </w:tr>
      <w:tr w14:paraId="35C343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6B0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7A2D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89D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2933B">
            <w:pPr>
              <w:jc w:val="center"/>
            </w:pPr>
            <w:r>
              <w:rPr>
                <w:rFonts w:ascii="宋体" w:hAnsi="宋体" w:eastAsia="宋体"/>
                <w:sz w:val="16"/>
              </w:rPr>
              <w:t>提高指挥调度和社会面防控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7AE4A">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C16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F57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7AE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2E29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19B9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6CE04">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C0A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374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570F6">
            <w:pPr>
              <w:jc w:val="center"/>
            </w:pPr>
          </w:p>
        </w:tc>
      </w:tr>
      <w:tr w14:paraId="323C56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251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61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567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5ED86">
            <w:pPr>
              <w:jc w:val="center"/>
            </w:pPr>
            <w:r>
              <w:rPr>
                <w:rFonts w:ascii="宋体" w:hAnsi="宋体" w:eastAsia="宋体"/>
                <w:sz w:val="16"/>
              </w:rPr>
              <w:t>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A2CC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761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77A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33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BE8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100B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49892">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7A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B55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C67B9">
            <w:pPr>
              <w:jc w:val="center"/>
            </w:pPr>
          </w:p>
        </w:tc>
      </w:tr>
      <w:tr w14:paraId="042158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EDA8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DE91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B45E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369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55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0DF2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BE7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A7FD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5D62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52A9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720F6B"/>
        </w:tc>
      </w:tr>
    </w:tbl>
    <w:p w14:paraId="01428119">
      <w:r>
        <w:br w:type="page"/>
      </w:r>
    </w:p>
    <w:p w14:paraId="605AF314">
      <w:pPr>
        <w:spacing w:line="640" w:lineRule="exact"/>
        <w:ind w:firstLine="640"/>
        <w:jc w:val="both"/>
        <w:outlineLvl w:val="2"/>
      </w:pPr>
      <w:r>
        <w:rPr>
          <w:rFonts w:ascii="黑体" w:hAnsi="黑体" w:eastAsia="黑体"/>
          <w:sz w:val="32"/>
        </w:rPr>
        <w:t>十二、其他需说明的事项</w:t>
      </w:r>
    </w:p>
    <w:p w14:paraId="1B44008D">
      <w:pPr>
        <w:spacing w:line="580" w:lineRule="exact"/>
        <w:ind w:firstLine="640"/>
        <w:jc w:val="both"/>
      </w:pPr>
      <w:r>
        <w:rPr>
          <w:rFonts w:ascii="仿宋_GB2312" w:hAnsi="仿宋_GB2312" w:eastAsia="仿宋_GB2312"/>
          <w:b w:val="0"/>
          <w:sz w:val="32"/>
        </w:rPr>
        <w:t>本部门无其他需说明的事项。</w:t>
      </w:r>
    </w:p>
    <w:p w14:paraId="6DEB5FE4">
      <w:r>
        <w:br w:type="page"/>
      </w:r>
    </w:p>
    <w:p w14:paraId="23231EDC">
      <w:pPr>
        <w:spacing w:line="240" w:lineRule="auto"/>
        <w:jc w:val="center"/>
        <w:outlineLvl w:val="1"/>
      </w:pPr>
      <w:r>
        <w:rPr>
          <w:rFonts w:ascii="黑体" w:hAnsi="黑体" w:eastAsia="黑体"/>
          <w:sz w:val="32"/>
        </w:rPr>
        <w:t>第三部分 专业名词解释</w:t>
      </w:r>
    </w:p>
    <w:p w14:paraId="4EA2E24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F4B76C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96F5AB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FC6255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1EEED5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A5E0B4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8A4100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FCF47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DE62F8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1CEE0F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1D7E0C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0CDF50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951151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DB695D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B8C7F40">
      <w:r>
        <w:br w:type="page"/>
      </w:r>
    </w:p>
    <w:p w14:paraId="615B3138">
      <w:pPr>
        <w:spacing w:line="240" w:lineRule="auto"/>
        <w:jc w:val="center"/>
        <w:outlineLvl w:val="1"/>
      </w:pPr>
      <w:r>
        <w:rPr>
          <w:rFonts w:ascii="黑体" w:hAnsi="黑体" w:eastAsia="黑体"/>
          <w:sz w:val="32"/>
        </w:rPr>
        <w:t>第四部分 部门决算报表（见附表）</w:t>
      </w:r>
    </w:p>
    <w:p w14:paraId="36E557AD">
      <w:pPr>
        <w:spacing w:line="240" w:lineRule="auto"/>
        <w:ind w:firstLine="640"/>
        <w:jc w:val="both"/>
      </w:pPr>
      <w:r>
        <w:rPr>
          <w:rFonts w:ascii="仿宋_GB2312" w:hAnsi="仿宋_GB2312" w:eastAsia="仿宋_GB2312"/>
          <w:b w:val="0"/>
          <w:sz w:val="32"/>
        </w:rPr>
        <w:t>一、《收入支出决算总表》</w:t>
      </w:r>
    </w:p>
    <w:p w14:paraId="0F4BAAD9">
      <w:pPr>
        <w:spacing w:line="240" w:lineRule="auto"/>
        <w:ind w:firstLine="640"/>
        <w:jc w:val="both"/>
      </w:pPr>
      <w:r>
        <w:rPr>
          <w:rFonts w:ascii="仿宋_GB2312" w:hAnsi="仿宋_GB2312" w:eastAsia="仿宋_GB2312"/>
          <w:b w:val="0"/>
          <w:sz w:val="32"/>
        </w:rPr>
        <w:t>二、《收入决算表》</w:t>
      </w:r>
    </w:p>
    <w:p w14:paraId="6B74395D">
      <w:pPr>
        <w:spacing w:line="240" w:lineRule="auto"/>
        <w:ind w:firstLine="640"/>
        <w:jc w:val="both"/>
      </w:pPr>
      <w:r>
        <w:rPr>
          <w:rFonts w:ascii="仿宋_GB2312" w:hAnsi="仿宋_GB2312" w:eastAsia="仿宋_GB2312"/>
          <w:b w:val="0"/>
          <w:sz w:val="32"/>
        </w:rPr>
        <w:t>三、《支出决算表》</w:t>
      </w:r>
    </w:p>
    <w:p w14:paraId="6D56E12D">
      <w:pPr>
        <w:spacing w:line="240" w:lineRule="auto"/>
        <w:ind w:firstLine="640"/>
        <w:jc w:val="both"/>
      </w:pPr>
      <w:r>
        <w:rPr>
          <w:rFonts w:ascii="仿宋_GB2312" w:hAnsi="仿宋_GB2312" w:eastAsia="仿宋_GB2312"/>
          <w:b w:val="0"/>
          <w:sz w:val="32"/>
        </w:rPr>
        <w:t>四、《财政拨款收入支出决算总表》</w:t>
      </w:r>
    </w:p>
    <w:p w14:paraId="4697B19E">
      <w:pPr>
        <w:spacing w:line="240" w:lineRule="auto"/>
        <w:ind w:firstLine="640"/>
        <w:jc w:val="both"/>
      </w:pPr>
      <w:r>
        <w:rPr>
          <w:rFonts w:ascii="仿宋_GB2312" w:hAnsi="仿宋_GB2312" w:eastAsia="仿宋_GB2312"/>
          <w:b w:val="0"/>
          <w:sz w:val="32"/>
        </w:rPr>
        <w:t>五、《一般公共预算财政拨款支出决算表》</w:t>
      </w:r>
    </w:p>
    <w:p w14:paraId="06F263C9">
      <w:pPr>
        <w:spacing w:line="240" w:lineRule="auto"/>
        <w:ind w:firstLine="640"/>
        <w:jc w:val="both"/>
      </w:pPr>
      <w:r>
        <w:rPr>
          <w:rFonts w:ascii="仿宋_GB2312" w:hAnsi="仿宋_GB2312" w:eastAsia="仿宋_GB2312"/>
          <w:b w:val="0"/>
          <w:sz w:val="32"/>
        </w:rPr>
        <w:t>六、《一般公共预算财政拨款基本支出决算表》</w:t>
      </w:r>
    </w:p>
    <w:p w14:paraId="1E26C3FD">
      <w:pPr>
        <w:spacing w:line="240" w:lineRule="auto"/>
        <w:ind w:firstLine="640"/>
        <w:jc w:val="both"/>
      </w:pPr>
      <w:r>
        <w:rPr>
          <w:rFonts w:ascii="仿宋_GB2312" w:hAnsi="仿宋_GB2312" w:eastAsia="仿宋_GB2312"/>
          <w:b w:val="0"/>
          <w:sz w:val="32"/>
        </w:rPr>
        <w:t>七、《政府性基金预算财政拨款收入支出决算表》</w:t>
      </w:r>
    </w:p>
    <w:p w14:paraId="08209195">
      <w:pPr>
        <w:spacing w:line="240" w:lineRule="auto"/>
        <w:ind w:firstLine="640"/>
        <w:jc w:val="both"/>
      </w:pPr>
      <w:r>
        <w:rPr>
          <w:rFonts w:ascii="仿宋_GB2312" w:hAnsi="仿宋_GB2312" w:eastAsia="仿宋_GB2312"/>
          <w:b w:val="0"/>
          <w:sz w:val="32"/>
        </w:rPr>
        <w:t>八、《国有资本经营预算财政拨款收入支出决算表》</w:t>
      </w:r>
    </w:p>
    <w:p w14:paraId="0412E5FF">
      <w:pPr>
        <w:spacing w:line="240" w:lineRule="auto"/>
        <w:ind w:firstLine="640"/>
        <w:jc w:val="both"/>
      </w:pPr>
      <w:r>
        <w:rPr>
          <w:rFonts w:ascii="仿宋_GB2312" w:hAnsi="仿宋_GB2312" w:eastAsia="仿宋_GB2312"/>
          <w:b w:val="0"/>
          <w:sz w:val="32"/>
        </w:rPr>
        <w:t>九、《财政拨款“三公”经费支出决算表》</w:t>
      </w:r>
    </w:p>
    <w:p w14:paraId="41451CF5">
      <w:pPr>
        <w:spacing w:line="240" w:lineRule="auto"/>
        <w:ind w:firstLine="640"/>
        <w:jc w:val="both"/>
      </w:pPr>
    </w:p>
    <w:p w14:paraId="085F894F">
      <w:pPr>
        <w:spacing w:line="240" w:lineRule="auto"/>
        <w:ind w:firstLine="640"/>
        <w:jc w:val="both"/>
      </w:pPr>
    </w:p>
    <w:p w14:paraId="2A13F02C">
      <w:pPr>
        <w:spacing w:line="240" w:lineRule="auto"/>
        <w:ind w:firstLine="640"/>
        <w:jc w:val="both"/>
      </w:pPr>
    </w:p>
    <w:p w14:paraId="1DBE932A">
      <w:pPr>
        <w:spacing w:line="240" w:lineRule="auto"/>
        <w:ind w:firstLine="640"/>
        <w:jc w:val="both"/>
      </w:pPr>
    </w:p>
    <w:p w14:paraId="144311A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62AF2D-AB53-4004-AB99-5A4FEB14DE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31C36D7-416F-41F9-BCBD-85AE8283779C}"/>
  </w:font>
  <w:font w:name="仿宋_GB2312">
    <w:panose1 w:val="02010609030101010101"/>
    <w:charset w:val="86"/>
    <w:family w:val="modern"/>
    <w:pitch w:val="default"/>
    <w:sig w:usb0="00000001" w:usb1="080E0000" w:usb2="00000000" w:usb3="00000000" w:csb0="00040000" w:csb1="00000000"/>
    <w:embedRegular r:id="rId3" w:fontKey="{7D519A4E-CFE3-4128-806C-824D87DA3D4F}"/>
  </w:font>
  <w:font w:name="楷体_GB2312">
    <w:panose1 w:val="02010609030101010101"/>
    <w:charset w:val="86"/>
    <w:family w:val="auto"/>
    <w:pitch w:val="default"/>
    <w:sig w:usb0="00000001" w:usb1="080E0000" w:usb2="00000000" w:usb3="00000000" w:csb0="00040000" w:csb1="00000000"/>
    <w:embedRegular r:id="rId4" w:fontKey="{1E5EC7C2-E722-4195-8293-EA20941B7878}"/>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1D13E70"/>
    <w:rsid w:val="326F0A17"/>
    <w:rsid w:val="3277581B"/>
    <w:rsid w:val="38006E2C"/>
    <w:rsid w:val="3914510A"/>
    <w:rsid w:val="3B1220C9"/>
    <w:rsid w:val="3D5275AC"/>
    <w:rsid w:val="3EA7725F"/>
    <w:rsid w:val="3EC014A1"/>
    <w:rsid w:val="40834692"/>
    <w:rsid w:val="423A32B2"/>
    <w:rsid w:val="423C0CB4"/>
    <w:rsid w:val="427B5743"/>
    <w:rsid w:val="42E64542"/>
    <w:rsid w:val="453A4B74"/>
    <w:rsid w:val="464B7E04"/>
    <w:rsid w:val="464F7E64"/>
    <w:rsid w:val="46901EEE"/>
    <w:rsid w:val="469C74D2"/>
    <w:rsid w:val="47445515"/>
    <w:rsid w:val="4B4C0111"/>
    <w:rsid w:val="4BB23021"/>
    <w:rsid w:val="4F3F074E"/>
    <w:rsid w:val="50DB5F45"/>
    <w:rsid w:val="52F92565"/>
    <w:rsid w:val="543D17CB"/>
    <w:rsid w:val="55DA564E"/>
    <w:rsid w:val="56E07045"/>
    <w:rsid w:val="583059FA"/>
    <w:rsid w:val="58512FDE"/>
    <w:rsid w:val="587E6212"/>
    <w:rsid w:val="58CD4FDE"/>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D330D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4009</Words>
  <Characters>4544</Characters>
  <Lines>0</Lines>
  <Paragraphs>0</Paragraphs>
  <TotalTime>0</TotalTime>
  <ScaleCrop>false</ScaleCrop>
  <LinksUpToDate>false</LinksUpToDate>
  <CharactersWithSpaces>4552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2025-12-26T03:13:39Z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