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且末县总工会本级2024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73C72B9">
      <w:r>
        <w:br w:type="page"/>
      </w:r>
    </w:p>
    <w:p w14:paraId="0839BB66">
      <w:pPr>
        <w:spacing w:line="640" w:lineRule="exact"/>
        <w:jc w:val="center"/>
        <w:outlineLvl w:val="1"/>
      </w:pPr>
      <w:r>
        <w:rPr>
          <w:rFonts w:ascii="黑体" w:hAnsi="黑体" w:eastAsia="黑体"/>
          <w:sz w:val="32"/>
        </w:rPr>
        <w:t>第一部分 部门概况</w:t>
      </w:r>
    </w:p>
    <w:p w14:paraId="3922CF90">
      <w:pPr>
        <w:spacing w:line="640" w:lineRule="exact"/>
        <w:ind w:firstLine="640"/>
        <w:jc w:val="both"/>
        <w:outlineLvl w:val="2"/>
      </w:pPr>
      <w:r>
        <w:rPr>
          <w:rFonts w:ascii="黑体" w:hAnsi="黑体" w:eastAsia="黑体"/>
          <w:sz w:val="32"/>
        </w:rPr>
        <w:t>一、主要职能</w:t>
      </w:r>
    </w:p>
    <w:p w14:paraId="11BCBDFD">
      <w:pPr>
        <w:spacing w:line="580" w:lineRule="exact"/>
        <w:ind w:firstLine="640"/>
        <w:jc w:val="both"/>
      </w:pPr>
      <w:r>
        <w:rPr>
          <w:rFonts w:ascii="仿宋_GB2312" w:hAnsi="仿宋_GB2312" w:eastAsia="仿宋_GB2312"/>
          <w:sz w:val="32"/>
        </w:rPr>
        <w:t>一是组成宣讲队到基层工会及全体干部到包联村宣讲活动与</w:t>
      </w:r>
      <w:r>
        <w:rPr>
          <w:rFonts w:hint="eastAsia" w:ascii="仿宋_GB2312" w:hAnsi="仿宋_GB2312" w:eastAsia="仿宋_GB2312"/>
          <w:sz w:val="32"/>
          <w:lang w:eastAsia="zh-CN"/>
        </w:rPr>
        <w:t>学习领会党的二十大精神</w:t>
      </w:r>
      <w:r>
        <w:rPr>
          <w:rFonts w:ascii="仿宋_GB2312" w:hAnsi="仿宋_GB2312" w:eastAsia="仿宋_GB2312"/>
          <w:sz w:val="32"/>
        </w:rPr>
        <w:t>，宣传学习贯彻习近平总书记在听取自治区和兵团工作汇报时的重要讲话精神，完整准确贯彻新时代党的治疆方略，贯彻落实习近平总书记关于工人阶级和工会工作重要论述，学习中国工会十八大会议精神。二是开展铸牢中华民族共同体意识，宣传以习近平同志为核心的党中央</w:t>
      </w:r>
      <w:bookmarkStart w:id="0" w:name="_GoBack"/>
      <w:bookmarkEnd w:id="0"/>
      <w:r>
        <w:rPr>
          <w:rFonts w:ascii="仿宋_GB2312" w:hAnsi="仿宋_GB2312" w:eastAsia="仿宋_GB2312"/>
          <w:sz w:val="32"/>
        </w:rPr>
        <w:t>对广大职工群众的关心关怀。以乡村振兴工作组织师资队伍进企业，劳动模范进校园大宣讲，积极传递党和国家对劳动</w:t>
      </w:r>
      <w:r>
        <w:rPr>
          <w:rFonts w:hint="eastAsia" w:ascii="仿宋_GB2312" w:hAnsi="仿宋_GB2312" w:eastAsia="仿宋_GB2312"/>
          <w:sz w:val="32"/>
          <w:lang w:eastAsia="zh-CN"/>
        </w:rPr>
        <w:t>者的</w:t>
      </w:r>
      <w:r>
        <w:rPr>
          <w:rFonts w:ascii="仿宋_GB2312" w:hAnsi="仿宋_GB2312" w:eastAsia="仿宋_GB2312"/>
          <w:sz w:val="32"/>
        </w:rPr>
        <w:t>关心关爱。三是深入开展社会主义核心价值观，以开展中国梦、新疆“四史”宣传</w:t>
      </w:r>
      <w:r>
        <w:rPr>
          <w:rFonts w:hint="eastAsia" w:ascii="仿宋_GB2312" w:hAnsi="仿宋_GB2312" w:eastAsia="仿宋_GB2312"/>
          <w:sz w:val="32"/>
          <w:lang w:eastAsia="zh-CN"/>
        </w:rPr>
        <w:t>主题</w:t>
      </w:r>
      <w:r>
        <w:rPr>
          <w:rFonts w:ascii="仿宋_GB2312" w:hAnsi="仿宋_GB2312" w:eastAsia="仿宋_GB2312"/>
          <w:sz w:val="32"/>
        </w:rPr>
        <w:t>教育，不断加强中华民族共同体意识教育，开展“中国梦·劳动美·新疆好”主题宣传教育，引导职工增强“五个认同”意识，铸牢中华民族共同体意识。四是宣传党的民族</w:t>
      </w:r>
      <w:r>
        <w:rPr>
          <w:rFonts w:hint="eastAsia" w:ascii="仿宋_GB2312" w:hAnsi="仿宋_GB2312" w:eastAsia="仿宋_GB2312"/>
          <w:sz w:val="32"/>
          <w:lang w:eastAsia="zh-CN"/>
        </w:rPr>
        <w:t>ZJ</w:t>
      </w:r>
      <w:r>
        <w:rPr>
          <w:rFonts w:ascii="仿宋_GB2312" w:hAnsi="仿宋_GB2312" w:eastAsia="仿宋_GB2312"/>
          <w:sz w:val="32"/>
        </w:rPr>
        <w:t>政策和国家法律法规，宣传《</w:t>
      </w:r>
      <w:r>
        <w:rPr>
          <w:rFonts w:hint="eastAsia" w:ascii="仿宋_GB2312" w:hAnsi="仿宋_GB2312" w:eastAsia="仿宋_GB2312"/>
          <w:sz w:val="32"/>
          <w:lang w:eastAsia="zh-CN"/>
        </w:rPr>
        <w:t>中华人民共和国劳动合同法</w:t>
      </w:r>
      <w:r>
        <w:rPr>
          <w:rFonts w:ascii="仿宋_GB2312" w:hAnsi="仿宋_GB2312" w:eastAsia="仿宋_GB2312"/>
          <w:sz w:val="32"/>
        </w:rPr>
        <w:t>》《</w:t>
      </w:r>
      <w:r>
        <w:rPr>
          <w:rFonts w:hint="eastAsia" w:ascii="仿宋_GB2312" w:hAnsi="仿宋_GB2312" w:eastAsia="仿宋_GB2312"/>
          <w:sz w:val="32"/>
          <w:lang w:eastAsia="zh-CN"/>
        </w:rPr>
        <w:t>中华人民共和国工会法</w:t>
      </w:r>
      <w:r>
        <w:rPr>
          <w:rFonts w:ascii="仿宋_GB2312" w:hAnsi="仿宋_GB2312" w:eastAsia="仿宋_GB2312"/>
          <w:sz w:val="32"/>
        </w:rPr>
        <w:t>》《工会章程》《新疆维吾尔自治区集体协商条例》等法律法规，不断提高广大职工、农民工的依法维权意识。</w:t>
      </w:r>
    </w:p>
    <w:p w14:paraId="24920BAB">
      <w:pPr>
        <w:spacing w:line="640" w:lineRule="exact"/>
        <w:ind w:firstLine="640"/>
        <w:jc w:val="both"/>
        <w:outlineLvl w:val="2"/>
      </w:pPr>
      <w:r>
        <w:rPr>
          <w:rFonts w:ascii="黑体" w:hAnsi="黑体" w:eastAsia="黑体"/>
          <w:sz w:val="32"/>
        </w:rPr>
        <w:t>二、机构设置及人员情况</w:t>
      </w:r>
    </w:p>
    <w:p w14:paraId="233263FC">
      <w:pPr>
        <w:spacing w:line="580" w:lineRule="exact"/>
        <w:ind w:firstLine="640"/>
        <w:jc w:val="both"/>
      </w:pPr>
      <w:r>
        <w:rPr>
          <w:rFonts w:ascii="仿宋_GB2312" w:hAnsi="仿宋_GB2312" w:eastAsia="仿宋_GB2312"/>
          <w:sz w:val="32"/>
        </w:rPr>
        <w:t>且末县总工会本级2024年度，实有人数12人，其中：在职人员4人，增加1人；离休人员0人，增加0人；退休人员8人,减少1人。</w:t>
      </w:r>
    </w:p>
    <w:p w14:paraId="5DE3EFFA">
      <w:pPr>
        <w:spacing w:line="580" w:lineRule="exact"/>
        <w:ind w:firstLine="640"/>
        <w:jc w:val="both"/>
      </w:pPr>
      <w:r>
        <w:rPr>
          <w:rFonts w:ascii="仿宋_GB2312" w:hAnsi="仿宋_GB2312" w:eastAsia="仿宋_GB2312"/>
          <w:sz w:val="32"/>
        </w:rPr>
        <w:t>且末县总工会本级无下属预算单位，下设3个科室，分别是：办公室、财务室、帮扶中心。</w:t>
      </w:r>
    </w:p>
    <w:p w14:paraId="737867DA">
      <w:r>
        <w:br w:type="page"/>
      </w:r>
    </w:p>
    <w:p w14:paraId="16FAFABB">
      <w:pPr>
        <w:spacing w:line="240" w:lineRule="auto"/>
        <w:jc w:val="center"/>
        <w:outlineLvl w:val="1"/>
      </w:pPr>
      <w:r>
        <w:rPr>
          <w:rFonts w:ascii="黑体" w:hAnsi="黑体" w:eastAsia="黑体"/>
          <w:sz w:val="32"/>
        </w:rPr>
        <w:t>第二部分 部门决算情况说明</w:t>
      </w:r>
    </w:p>
    <w:p w14:paraId="136E1073">
      <w:pPr>
        <w:spacing w:line="640" w:lineRule="exact"/>
        <w:ind w:firstLine="640"/>
        <w:jc w:val="both"/>
        <w:outlineLvl w:val="2"/>
      </w:pPr>
      <w:r>
        <w:rPr>
          <w:rFonts w:ascii="黑体" w:hAnsi="黑体" w:eastAsia="黑体"/>
          <w:sz w:val="32"/>
        </w:rPr>
        <w:t>一、收入支出决算总体情况说明</w:t>
      </w:r>
    </w:p>
    <w:p w14:paraId="33850833">
      <w:pPr>
        <w:spacing w:line="580" w:lineRule="exact"/>
        <w:ind w:firstLine="640"/>
        <w:jc w:val="both"/>
      </w:pPr>
      <w:r>
        <w:rPr>
          <w:rFonts w:ascii="仿宋_GB2312" w:hAnsi="仿宋_GB2312" w:eastAsia="仿宋_GB2312"/>
          <w:b/>
          <w:sz w:val="32"/>
        </w:rPr>
        <w:t>2024年度收入总计85.16万元，</w:t>
      </w:r>
      <w:r>
        <w:rPr>
          <w:rFonts w:ascii="仿宋_GB2312" w:hAnsi="仿宋_GB2312" w:eastAsia="仿宋_GB2312"/>
          <w:b w:val="0"/>
          <w:sz w:val="32"/>
        </w:rPr>
        <w:t>其中：本年收入合计85.16万元，使用非财政拨款结余（含专用结余）0.00万元，年初结转和结余0.00万元。</w:t>
      </w:r>
    </w:p>
    <w:p w14:paraId="708211CD">
      <w:pPr>
        <w:spacing w:line="580" w:lineRule="exact"/>
        <w:ind w:firstLine="640"/>
        <w:jc w:val="both"/>
      </w:pPr>
      <w:r>
        <w:rPr>
          <w:rFonts w:ascii="仿宋_GB2312" w:hAnsi="仿宋_GB2312" w:eastAsia="仿宋_GB2312"/>
          <w:b/>
          <w:sz w:val="32"/>
        </w:rPr>
        <w:t>2024年度支出总计85.16万元，</w:t>
      </w:r>
      <w:r>
        <w:rPr>
          <w:rFonts w:ascii="仿宋_GB2312" w:hAnsi="仿宋_GB2312" w:eastAsia="仿宋_GB2312"/>
          <w:b w:val="0"/>
          <w:sz w:val="32"/>
        </w:rPr>
        <w:t>其中：本年支出合计85.16万元，结余分配0.00万元，年末结转和结余0.00万元。</w:t>
      </w:r>
    </w:p>
    <w:p w14:paraId="53E453DC">
      <w:pPr>
        <w:spacing w:line="580" w:lineRule="exact"/>
        <w:ind w:firstLine="640"/>
        <w:jc w:val="both"/>
      </w:pPr>
      <w:r>
        <w:rPr>
          <w:rFonts w:ascii="仿宋_GB2312" w:hAnsi="仿宋_GB2312" w:eastAsia="仿宋_GB2312"/>
          <w:b w:val="0"/>
          <w:sz w:val="32"/>
        </w:rPr>
        <w:t>收入支出总体与上年相比，减少19.27万元，下降18.45%，主要原因是：上年补发之前年度绩效工资，本年无此项支出，导致相关经费减少。</w:t>
      </w:r>
    </w:p>
    <w:p w14:paraId="31BCE7A3">
      <w:pPr>
        <w:spacing w:line="640" w:lineRule="exact"/>
        <w:ind w:firstLine="640"/>
        <w:jc w:val="both"/>
        <w:outlineLvl w:val="2"/>
      </w:pPr>
      <w:r>
        <w:rPr>
          <w:rFonts w:ascii="黑体" w:hAnsi="黑体" w:eastAsia="黑体"/>
          <w:sz w:val="32"/>
        </w:rPr>
        <w:t>二、收入决算情况说明</w:t>
      </w:r>
    </w:p>
    <w:p w14:paraId="2B2234DE">
      <w:pPr>
        <w:spacing w:line="580" w:lineRule="exact"/>
        <w:ind w:firstLine="640"/>
        <w:jc w:val="both"/>
      </w:pPr>
      <w:r>
        <w:rPr>
          <w:rFonts w:ascii="仿宋_GB2312" w:hAnsi="仿宋_GB2312" w:eastAsia="仿宋_GB2312"/>
          <w:b/>
          <w:sz w:val="32"/>
        </w:rPr>
        <w:t>本年收入85.16万元，</w:t>
      </w:r>
      <w:r>
        <w:rPr>
          <w:rFonts w:ascii="仿宋_GB2312" w:hAnsi="仿宋_GB2312" w:eastAsia="仿宋_GB2312"/>
          <w:b w:val="0"/>
          <w:sz w:val="32"/>
        </w:rPr>
        <w:t>其中：财政拨款收入85.16万元，占100.00%；上级补助收入0.00万元，占0.00%；事业收入0.00万元，占0.00%；经营收入0.00万元，占0.00%；附属单位上缴收入0.00万元，占0.00%；其他收入0.00万元，占0.00%。</w:t>
      </w:r>
    </w:p>
    <w:p w14:paraId="31493053">
      <w:pPr>
        <w:spacing w:line="640" w:lineRule="exact"/>
        <w:ind w:firstLine="640"/>
        <w:jc w:val="both"/>
        <w:outlineLvl w:val="2"/>
      </w:pPr>
      <w:r>
        <w:rPr>
          <w:rFonts w:ascii="黑体" w:hAnsi="黑体" w:eastAsia="黑体"/>
          <w:sz w:val="32"/>
        </w:rPr>
        <w:t>三、支出决算情况说明</w:t>
      </w:r>
    </w:p>
    <w:p w14:paraId="1FAA60DF">
      <w:pPr>
        <w:spacing w:line="580" w:lineRule="exact"/>
        <w:ind w:firstLine="640"/>
        <w:jc w:val="both"/>
      </w:pPr>
      <w:r>
        <w:rPr>
          <w:rFonts w:ascii="仿宋_GB2312" w:hAnsi="仿宋_GB2312" w:eastAsia="仿宋_GB2312"/>
          <w:b/>
          <w:sz w:val="32"/>
        </w:rPr>
        <w:t>本年支出85.16万元，</w:t>
      </w:r>
      <w:r>
        <w:rPr>
          <w:rFonts w:ascii="仿宋_GB2312" w:hAnsi="仿宋_GB2312" w:eastAsia="仿宋_GB2312"/>
          <w:b w:val="0"/>
          <w:sz w:val="32"/>
        </w:rPr>
        <w:t>其中：基本支出85.16万元，占100.00%；项目支出0.00万元，占0.00%；上缴上级支出0.00万元，占0.00%；经营支出0.00万元，占0.00%；对附属单位补助支出0.00万元，占0.00%。</w:t>
      </w:r>
    </w:p>
    <w:p w14:paraId="0996259E">
      <w:pPr>
        <w:spacing w:line="640" w:lineRule="exact"/>
        <w:ind w:firstLine="640"/>
        <w:jc w:val="both"/>
        <w:outlineLvl w:val="2"/>
      </w:pPr>
      <w:r>
        <w:rPr>
          <w:rFonts w:ascii="黑体" w:hAnsi="黑体" w:eastAsia="黑体"/>
          <w:sz w:val="32"/>
        </w:rPr>
        <w:t>四、财政拨款收入支出决算总体情况说明</w:t>
      </w:r>
    </w:p>
    <w:p w14:paraId="246F0D34">
      <w:pPr>
        <w:spacing w:line="580" w:lineRule="exact"/>
        <w:ind w:firstLine="640"/>
        <w:jc w:val="both"/>
      </w:pPr>
      <w:r>
        <w:rPr>
          <w:rFonts w:ascii="仿宋_GB2312" w:hAnsi="仿宋_GB2312" w:eastAsia="仿宋_GB2312"/>
          <w:b/>
          <w:sz w:val="32"/>
        </w:rPr>
        <w:t>2024年度财政拨款收入总计85.16万元，</w:t>
      </w:r>
      <w:r>
        <w:rPr>
          <w:rFonts w:ascii="仿宋_GB2312" w:hAnsi="仿宋_GB2312" w:eastAsia="仿宋_GB2312"/>
          <w:b w:val="0"/>
          <w:sz w:val="32"/>
        </w:rPr>
        <w:t>其中：年初财政拨款结转和结余0.00万元，本年财政拨款收入85.16万元。</w:t>
      </w:r>
      <w:r>
        <w:rPr>
          <w:rFonts w:ascii="仿宋_GB2312" w:hAnsi="仿宋_GB2312" w:eastAsia="仿宋_GB2312"/>
          <w:b/>
          <w:sz w:val="32"/>
        </w:rPr>
        <w:t>财政拨款支出总计85.16万元，</w:t>
      </w:r>
      <w:r>
        <w:rPr>
          <w:rFonts w:ascii="仿宋_GB2312" w:hAnsi="仿宋_GB2312" w:eastAsia="仿宋_GB2312"/>
          <w:b w:val="0"/>
          <w:sz w:val="32"/>
        </w:rPr>
        <w:t>其中：年末财政拨款结转和结余0.00万元，本年财政拨款支出85.16万元。</w:t>
      </w:r>
    </w:p>
    <w:p w14:paraId="2D61DC37">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减少19.27万元，下降18.45%，主要原因是：上年补发之前年度绩效工资，本年无此项支出，导致相关经费减少。</w:t>
      </w:r>
      <w:r>
        <w:rPr>
          <w:rFonts w:ascii="仿宋_GB2312" w:hAnsi="仿宋_GB2312" w:eastAsia="仿宋_GB2312"/>
          <w:b/>
          <w:sz w:val="32"/>
        </w:rPr>
        <w:t>与年初预算相比，</w:t>
      </w:r>
      <w:r>
        <w:rPr>
          <w:rFonts w:ascii="仿宋_GB2312" w:hAnsi="仿宋_GB2312" w:eastAsia="仿宋_GB2312"/>
          <w:b w:val="0"/>
          <w:sz w:val="32"/>
        </w:rPr>
        <w:t>年初预算数80.71万元，决算数85.16万元，预决算差异率5.51%，主要原因是：本年在职人员增加，年中追加人员经费及人员工资、社保、公积金基数调增部分资金，导致预决算存在差异。</w:t>
      </w:r>
    </w:p>
    <w:p w14:paraId="2550209C">
      <w:pPr>
        <w:spacing w:line="640" w:lineRule="exact"/>
        <w:ind w:firstLine="640"/>
        <w:jc w:val="both"/>
        <w:outlineLvl w:val="2"/>
      </w:pPr>
      <w:r>
        <w:rPr>
          <w:rFonts w:ascii="黑体" w:hAnsi="黑体" w:eastAsia="黑体"/>
          <w:sz w:val="32"/>
        </w:rPr>
        <w:t>五、一般公共预算财政拨款支出决算情况说明</w:t>
      </w:r>
    </w:p>
    <w:p w14:paraId="7F361100">
      <w:pPr>
        <w:spacing w:line="640" w:lineRule="exact"/>
        <w:ind w:firstLine="640"/>
        <w:jc w:val="both"/>
        <w:outlineLvl w:val="3"/>
      </w:pPr>
      <w:r>
        <w:rPr>
          <w:rFonts w:ascii="楷体_GB2312" w:hAnsi="楷体_GB2312" w:eastAsia="楷体_GB2312"/>
          <w:b/>
          <w:sz w:val="32"/>
        </w:rPr>
        <w:t>（一）一般公共预算财政拨款支出决算总体情况</w:t>
      </w:r>
    </w:p>
    <w:p w14:paraId="2A32E58F">
      <w:pPr>
        <w:spacing w:line="580" w:lineRule="exact"/>
        <w:ind w:firstLine="640"/>
        <w:jc w:val="both"/>
      </w:pPr>
      <w:r>
        <w:rPr>
          <w:rFonts w:ascii="仿宋_GB2312" w:hAnsi="仿宋_GB2312" w:eastAsia="仿宋_GB2312"/>
          <w:b/>
          <w:sz w:val="32"/>
        </w:rPr>
        <w:t>2024年度一般公共预算财政拨款支出85.16万元，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减少19.27万元，下降18.45%，主要原因是：上年补发之前年度绩效工资，本年无此项支出，导致相关经费减少。</w:t>
      </w:r>
      <w:r>
        <w:rPr>
          <w:rFonts w:ascii="仿宋_GB2312" w:hAnsi="仿宋_GB2312" w:eastAsia="仿宋_GB2312"/>
          <w:b/>
          <w:sz w:val="32"/>
        </w:rPr>
        <w:t>与年初预算相比,</w:t>
      </w:r>
      <w:r>
        <w:rPr>
          <w:rFonts w:ascii="仿宋_GB2312" w:hAnsi="仿宋_GB2312" w:eastAsia="仿宋_GB2312"/>
          <w:b w:val="0"/>
          <w:sz w:val="32"/>
        </w:rPr>
        <w:t>年初预算数80.71万元，决算数85.16万元，预决算差异率5.51%，主要原因是：本年在职人员增加，年中追加人员经费及人员工资、社保、公积金基数调增部分资金，导致预决算存在差异。</w:t>
      </w:r>
    </w:p>
    <w:p w14:paraId="5943D834">
      <w:pPr>
        <w:spacing w:line="640" w:lineRule="exact"/>
        <w:ind w:firstLine="640"/>
        <w:jc w:val="both"/>
        <w:outlineLvl w:val="3"/>
      </w:pPr>
      <w:r>
        <w:rPr>
          <w:rFonts w:ascii="楷体_GB2312" w:hAnsi="楷体_GB2312" w:eastAsia="楷体_GB2312"/>
          <w:b/>
          <w:sz w:val="32"/>
        </w:rPr>
        <w:t>（二）一般公共预算财政拨款支出决算结构情况</w:t>
      </w:r>
    </w:p>
    <w:p w14:paraId="66F93F47">
      <w:pPr>
        <w:spacing w:line="580" w:lineRule="exact"/>
        <w:ind w:firstLine="640"/>
        <w:jc w:val="both"/>
      </w:pPr>
      <w:r>
        <w:rPr>
          <w:rFonts w:ascii="仿宋_GB2312" w:hAnsi="仿宋_GB2312" w:eastAsia="仿宋_GB2312"/>
          <w:b w:val="0"/>
          <w:sz w:val="32"/>
        </w:rPr>
        <w:t>1.一般公共服务支出(类)58.68万元,占68.91%。</w:t>
      </w:r>
    </w:p>
    <w:p w14:paraId="375396DE">
      <w:pPr>
        <w:spacing w:line="580" w:lineRule="exact"/>
        <w:ind w:firstLine="640"/>
        <w:jc w:val="both"/>
      </w:pPr>
      <w:r>
        <w:rPr>
          <w:rFonts w:ascii="仿宋_GB2312" w:hAnsi="仿宋_GB2312" w:eastAsia="仿宋_GB2312"/>
          <w:b w:val="0"/>
          <w:sz w:val="32"/>
        </w:rPr>
        <w:t>2.社会保障和就业支出(类)15.25万元,占17.91%。</w:t>
      </w:r>
    </w:p>
    <w:p w14:paraId="1282CD63">
      <w:pPr>
        <w:spacing w:line="580" w:lineRule="exact"/>
        <w:ind w:firstLine="640"/>
        <w:jc w:val="both"/>
      </w:pPr>
      <w:r>
        <w:rPr>
          <w:rFonts w:ascii="仿宋_GB2312" w:hAnsi="仿宋_GB2312" w:eastAsia="仿宋_GB2312"/>
          <w:b w:val="0"/>
          <w:sz w:val="32"/>
        </w:rPr>
        <w:t>3.卫生健康支出(类)4.77万元,占5.60%。</w:t>
      </w:r>
    </w:p>
    <w:p w14:paraId="242342BD">
      <w:pPr>
        <w:spacing w:line="580" w:lineRule="exact"/>
        <w:ind w:firstLine="640"/>
        <w:jc w:val="both"/>
      </w:pPr>
      <w:r>
        <w:rPr>
          <w:rFonts w:ascii="仿宋_GB2312" w:hAnsi="仿宋_GB2312" w:eastAsia="仿宋_GB2312"/>
          <w:b w:val="0"/>
          <w:sz w:val="32"/>
        </w:rPr>
        <w:t>4.住房保障支出(类)6.46万元,占7.59%。</w:t>
      </w:r>
    </w:p>
    <w:p w14:paraId="2865549D">
      <w:pPr>
        <w:spacing w:line="640" w:lineRule="exact"/>
        <w:ind w:firstLine="640"/>
        <w:jc w:val="both"/>
        <w:outlineLvl w:val="3"/>
      </w:pPr>
      <w:r>
        <w:rPr>
          <w:rFonts w:ascii="楷体_GB2312" w:hAnsi="楷体_GB2312" w:eastAsia="楷体_GB2312"/>
          <w:b/>
          <w:sz w:val="32"/>
        </w:rPr>
        <w:t>（三）一般公共预算财政拨款支出决算具体情况</w:t>
      </w:r>
    </w:p>
    <w:p w14:paraId="56B5E456">
      <w:pPr>
        <w:spacing w:line="580" w:lineRule="exact"/>
        <w:ind w:firstLine="640"/>
        <w:jc w:val="both"/>
      </w:pPr>
      <w:r>
        <w:rPr>
          <w:rFonts w:ascii="仿宋_GB2312" w:hAnsi="仿宋_GB2312" w:eastAsia="仿宋_GB2312"/>
          <w:b w:val="0"/>
          <w:sz w:val="32"/>
        </w:rPr>
        <w:t>1.一般公共服务支出(类)群众团体事务(款)行政运行(项):支出决算数为58.68万元，比上年决算减少13.49万元，下降18.69%,主要原因是：上年补发之前年度绩效工资，本年无此项支出，导致相关经费减少。</w:t>
      </w:r>
    </w:p>
    <w:p w14:paraId="354CFC35">
      <w:pPr>
        <w:spacing w:line="580" w:lineRule="exact"/>
        <w:ind w:firstLine="640"/>
        <w:jc w:val="both"/>
      </w:pPr>
      <w:r>
        <w:rPr>
          <w:rFonts w:ascii="仿宋_GB2312" w:hAnsi="仿宋_GB2312" w:eastAsia="仿宋_GB2312"/>
          <w:b w:val="0"/>
          <w:sz w:val="32"/>
        </w:rPr>
        <w:t>2.社会保障和就业支出(类)行政事业单位养老支出(款)行政单位离退休(项):支出决算数为7.23万元，比上年决算增加4.18万元，增长137.05%,主要原因是：本年退休人员工资、基础绩效调增，导致退休费支出增加。</w:t>
      </w:r>
    </w:p>
    <w:p w14:paraId="29EE9565">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8.02万元，比上年决算增加2.58万元，增长47.43%,主要原因是：本年在职人员增加，社保基数调增，导致养老保险缴费较上年增加。</w:t>
      </w:r>
    </w:p>
    <w:p w14:paraId="6EC6146A">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0.00万元，比上年决算减少13.56万元，下降100.00%,主要原因是：本年无新增退休人员，职业年金缴费较上年减少。</w:t>
      </w:r>
    </w:p>
    <w:p w14:paraId="5F4CE532">
      <w:pPr>
        <w:spacing w:line="580" w:lineRule="exact"/>
        <w:ind w:firstLine="640"/>
        <w:jc w:val="both"/>
      </w:pPr>
      <w:r>
        <w:rPr>
          <w:rFonts w:ascii="仿宋_GB2312" w:hAnsi="仿宋_GB2312" w:eastAsia="仿宋_GB2312"/>
          <w:b w:val="0"/>
          <w:sz w:val="32"/>
        </w:rPr>
        <w:t>5.卫生健康支出(类)行政事业单位医疗(款)行政单位医疗(项):支出决算数为3.61万元，比上年决算减少0.94万元，下降20.66%,主要原因是：本年在职人员调入调出，人员职级不同，缴费基数不同，导致行政单位医疗较上年减少。</w:t>
      </w:r>
    </w:p>
    <w:p w14:paraId="1F7254C2">
      <w:pPr>
        <w:spacing w:line="580" w:lineRule="exact"/>
        <w:ind w:firstLine="640"/>
        <w:jc w:val="both"/>
      </w:pPr>
      <w:r>
        <w:rPr>
          <w:rFonts w:ascii="仿宋_GB2312" w:hAnsi="仿宋_GB2312" w:eastAsia="仿宋_GB2312"/>
          <w:b w:val="0"/>
          <w:sz w:val="32"/>
        </w:rPr>
        <w:t>6.卫生健康支出(类)行政事业单位医疗(款)公务员医疗补助(项):支出决算数为1.15万元，比上年决算增加0.02万元，增长1.77%,主要原因是：本年在职人员增加，公务员医疗补助较上年增加。</w:t>
      </w:r>
    </w:p>
    <w:p w14:paraId="1FEE88D2">
      <w:pPr>
        <w:spacing w:line="580" w:lineRule="exact"/>
        <w:ind w:firstLine="640"/>
        <w:jc w:val="both"/>
      </w:pPr>
      <w:r>
        <w:rPr>
          <w:rFonts w:ascii="仿宋_GB2312" w:hAnsi="仿宋_GB2312" w:eastAsia="仿宋_GB2312"/>
          <w:b w:val="0"/>
          <w:sz w:val="32"/>
        </w:rPr>
        <w:t>7.住房保障支出(类)住房改革支出(款)住房公积金(项):支出决算数为6.46万元，比上年决算增加1.94万元，增长42.92%,主要原因是：本年在职人员增加，住房公积金支出较上年增加。</w:t>
      </w:r>
    </w:p>
    <w:p w14:paraId="1A5CD428">
      <w:pPr>
        <w:spacing w:line="640" w:lineRule="exact"/>
        <w:ind w:firstLine="640"/>
        <w:jc w:val="both"/>
        <w:outlineLvl w:val="2"/>
      </w:pPr>
      <w:r>
        <w:rPr>
          <w:rFonts w:ascii="黑体" w:hAnsi="黑体" w:eastAsia="黑体"/>
          <w:sz w:val="32"/>
        </w:rPr>
        <w:t>六、一般公共预算财政拨款基本支出决算情况说明</w:t>
      </w:r>
    </w:p>
    <w:p w14:paraId="32BB5884">
      <w:pPr>
        <w:spacing w:line="580" w:lineRule="exact"/>
        <w:ind w:firstLine="640"/>
        <w:jc w:val="both"/>
      </w:pPr>
      <w:r>
        <w:rPr>
          <w:rFonts w:ascii="仿宋_GB2312" w:hAnsi="仿宋_GB2312" w:eastAsia="仿宋_GB2312"/>
          <w:b w:val="0"/>
          <w:sz w:val="32"/>
        </w:rPr>
        <w:t>2024年度一般公共预算财政拨款基本支出85.16万元，其中：</w:t>
      </w:r>
      <w:r>
        <w:rPr>
          <w:rFonts w:ascii="仿宋_GB2312" w:hAnsi="仿宋_GB2312" w:eastAsia="仿宋_GB2312"/>
          <w:b/>
          <w:sz w:val="32"/>
        </w:rPr>
        <w:t>人员经费82.19万元，</w:t>
      </w:r>
      <w:r>
        <w:rPr>
          <w:rFonts w:ascii="仿宋_GB2312" w:hAnsi="仿宋_GB2312" w:eastAsia="仿宋_GB2312"/>
          <w:b w:val="0"/>
          <w:sz w:val="32"/>
        </w:rPr>
        <w:t>包括：基本工资、津贴补贴、奖金、机关事业单位基本养老保险缴费、职工基本医疗保险缴费、公务员医疗补助缴费、其他社会保障缴费、住房公积金、退休费、奖励金。</w:t>
      </w:r>
    </w:p>
    <w:p w14:paraId="725F150E">
      <w:pPr>
        <w:spacing w:line="580" w:lineRule="exact"/>
        <w:ind w:firstLine="640"/>
        <w:jc w:val="both"/>
      </w:pPr>
      <w:r>
        <w:rPr>
          <w:rFonts w:ascii="仿宋_GB2312" w:hAnsi="仿宋_GB2312" w:eastAsia="仿宋_GB2312"/>
          <w:b/>
          <w:sz w:val="32"/>
        </w:rPr>
        <w:t>公用经费2.97万元，</w:t>
      </w:r>
      <w:r>
        <w:rPr>
          <w:rFonts w:ascii="仿宋_GB2312" w:hAnsi="仿宋_GB2312" w:eastAsia="仿宋_GB2312"/>
          <w:b w:val="0"/>
          <w:sz w:val="32"/>
        </w:rPr>
        <w:t>包括：办公费、邮电费、物业管理费、劳务费、公务用车运行维护费。</w:t>
      </w:r>
    </w:p>
    <w:p w14:paraId="5613DB59">
      <w:pPr>
        <w:spacing w:line="640" w:lineRule="exact"/>
        <w:ind w:firstLine="640"/>
        <w:jc w:val="both"/>
        <w:outlineLvl w:val="2"/>
      </w:pPr>
      <w:r>
        <w:rPr>
          <w:rFonts w:ascii="黑体" w:hAnsi="黑体" w:eastAsia="黑体"/>
          <w:sz w:val="32"/>
        </w:rPr>
        <w:t>七、政府性基金预算财政拨款收入支出决算情况说明</w:t>
      </w:r>
    </w:p>
    <w:p w14:paraId="0D5FA2FD">
      <w:pPr>
        <w:spacing w:line="580" w:lineRule="exact"/>
        <w:ind w:firstLine="640"/>
        <w:jc w:val="both"/>
      </w:pPr>
      <w:r>
        <w:rPr>
          <w:rFonts w:ascii="仿宋_GB2312" w:hAnsi="仿宋_GB2312" w:eastAsia="仿宋_GB2312"/>
          <w:b w:val="0"/>
          <w:sz w:val="32"/>
        </w:rPr>
        <w:t>本部门本年度无政府性基金预算财政拨款收入、支出及结转和结余，政府性基金预算财政拨款收入支出决算表为空表。</w:t>
      </w:r>
    </w:p>
    <w:p w14:paraId="294A7CF6">
      <w:pPr>
        <w:spacing w:line="640" w:lineRule="exact"/>
        <w:ind w:firstLine="640"/>
        <w:jc w:val="both"/>
        <w:outlineLvl w:val="2"/>
      </w:pPr>
      <w:r>
        <w:rPr>
          <w:rFonts w:ascii="黑体" w:hAnsi="黑体" w:eastAsia="黑体"/>
          <w:sz w:val="32"/>
        </w:rPr>
        <w:t>八、国有资本经营预算财政拨款收入支出决算情况说明</w:t>
      </w:r>
    </w:p>
    <w:p w14:paraId="4D73A8B0">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14:paraId="7C123902">
      <w:pPr>
        <w:spacing w:line="640" w:lineRule="exact"/>
        <w:ind w:firstLine="640"/>
        <w:jc w:val="both"/>
        <w:outlineLvl w:val="2"/>
      </w:pPr>
      <w:r>
        <w:rPr>
          <w:rFonts w:ascii="黑体" w:hAnsi="黑体" w:eastAsia="黑体"/>
          <w:sz w:val="32"/>
        </w:rPr>
        <w:t>九、财政拨款“三公”经费支出决算情况说明</w:t>
      </w:r>
    </w:p>
    <w:p w14:paraId="487A2E0A">
      <w:pPr>
        <w:spacing w:line="580" w:lineRule="exact"/>
        <w:ind w:firstLine="640"/>
        <w:jc w:val="both"/>
      </w:pPr>
      <w:r>
        <w:rPr>
          <w:rFonts w:ascii="仿宋_GB2312" w:hAnsi="仿宋_GB2312" w:eastAsia="仿宋_GB2312"/>
          <w:b/>
          <w:sz w:val="32"/>
        </w:rPr>
        <w:t>2024年度财政拨款“三公”经费支出1.69万元，</w:t>
      </w:r>
      <w:r>
        <w:rPr>
          <w:rFonts w:ascii="仿宋_GB2312" w:hAnsi="仿宋_GB2312" w:eastAsia="仿宋_GB2312"/>
          <w:b w:val="0"/>
          <w:sz w:val="32"/>
        </w:rPr>
        <w:t>比上年增加0.19万元，增长12.67%，主要原因是：本部门公务用车日渐老化，维修维护成本增加，导致公务用车运行维护费较上年增加。其中：因公出国（境）费支出0.00万元，占0.00%，比上年增加0.00万元，增长0.00%，主要原因是：2023年与2024年均未安排因公出国（境）费支出。公务用车购置及运行维护费支出1.69万元，占100.00%，比上年增加0.19万元，增长12.67%，主要原因是：本部门公务用车日渐老化，维修维护成本增加，导致公务用车运行维护费较上年增加。公务接待费支出0.00万元，占0.00%，比上年增加0.00万元，增长0.00%，主要原因是：2023年与2024年均未安排公务接待费支出。</w:t>
      </w:r>
    </w:p>
    <w:p w14:paraId="597B3112">
      <w:pPr>
        <w:spacing w:line="580" w:lineRule="exact"/>
        <w:ind w:firstLine="640"/>
        <w:jc w:val="both"/>
      </w:pPr>
      <w:r>
        <w:rPr>
          <w:rFonts w:ascii="仿宋_GB2312" w:hAnsi="仿宋_GB2312" w:eastAsia="仿宋_GB2312"/>
          <w:b/>
          <w:sz w:val="32"/>
        </w:rPr>
        <w:t>具体情况如下：</w:t>
      </w:r>
    </w:p>
    <w:p w14:paraId="2CA9A972">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14:paraId="6566DEEF">
      <w:pPr>
        <w:spacing w:line="580" w:lineRule="exact"/>
        <w:ind w:firstLine="640"/>
        <w:jc w:val="both"/>
      </w:pPr>
      <w:r>
        <w:rPr>
          <w:rFonts w:ascii="仿宋_GB2312" w:hAnsi="仿宋_GB2312" w:eastAsia="仿宋_GB2312"/>
          <w:b w:val="0"/>
          <w:sz w:val="32"/>
        </w:rPr>
        <w:t>公务用车购置及运行维护费1.69万元，其中：公务用车购置费0.00万元，公务用车运行维护费1.69万元。公务用车运行维护费开支内容包括车辆加油费、维修费、保险费。公务用车购置数0辆，公务用车保有量1辆。国有资产占用情况中固定资产车辆1辆，与公务用车保有量差异原因是：本部门固定资产车辆与公务用车保有量一致无差异。</w:t>
      </w:r>
    </w:p>
    <w:p w14:paraId="1C3F0356">
      <w:pPr>
        <w:spacing w:line="580" w:lineRule="exact"/>
        <w:ind w:firstLine="640"/>
        <w:jc w:val="both"/>
      </w:pPr>
      <w:r>
        <w:rPr>
          <w:rFonts w:ascii="仿宋_GB2312" w:hAnsi="仿宋_GB2312" w:eastAsia="仿宋_GB2312"/>
          <w:b w:val="0"/>
          <w:sz w:val="32"/>
        </w:rPr>
        <w:t>公务接待费0.00万元，开支内容包括本部门无公务接待费。部门全年安排的国内公务接待0批次，0人次。</w:t>
      </w:r>
    </w:p>
    <w:p w14:paraId="0FECC7E4">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1.69万元，决算数1.69万元，预决算差异率0.00%，主要原因是：严格按照预算执行，预决算无差异。其中：因公出国（境）费全年预算数0.00万元，决算数0.00万元，预决算差异率0.00%，主要原因是：本部门无因公出国（境）费。公务用车购置费全年预算数0.00万元，决算数0.00万元，预决算差异率0.00%，主要原因是：本部门无公务用车购置费。公务用车运行维护费全年预算数1.69万元，决算数1.69万元，预决算差异率0.00%，主要原因是：严格按照预算执行，预决算无差异。公务接待费全年预算数0.00万元，决算数0.00万元，预决算差异率0.00%，主要原因是：本部门无公务接待费。</w:t>
      </w:r>
    </w:p>
    <w:p w14:paraId="3C8AB23D">
      <w:pPr>
        <w:spacing w:line="640" w:lineRule="exact"/>
        <w:ind w:firstLine="640"/>
        <w:jc w:val="both"/>
        <w:outlineLvl w:val="2"/>
      </w:pPr>
      <w:r>
        <w:rPr>
          <w:rFonts w:ascii="黑体" w:hAnsi="黑体" w:eastAsia="黑体"/>
          <w:sz w:val="32"/>
        </w:rPr>
        <w:t>十、其他重要事项的情况说明</w:t>
      </w:r>
    </w:p>
    <w:p w14:paraId="36DE2784">
      <w:pPr>
        <w:spacing w:line="640" w:lineRule="exact"/>
        <w:ind w:firstLine="640"/>
        <w:jc w:val="both"/>
        <w:outlineLvl w:val="3"/>
      </w:pPr>
      <w:r>
        <w:rPr>
          <w:rFonts w:ascii="楷体_GB2312" w:hAnsi="楷体_GB2312" w:eastAsia="楷体_GB2312"/>
          <w:b/>
          <w:sz w:val="32"/>
        </w:rPr>
        <w:t>（一）机关运行经费及公用经费支出情况</w:t>
      </w:r>
    </w:p>
    <w:p w14:paraId="5D5E5598">
      <w:pPr>
        <w:spacing w:line="580" w:lineRule="exact"/>
        <w:ind w:firstLine="640"/>
        <w:jc w:val="both"/>
      </w:pPr>
      <w:r>
        <w:rPr>
          <w:rFonts w:ascii="仿宋_GB2312" w:hAnsi="仿宋_GB2312" w:eastAsia="仿宋_GB2312"/>
          <w:b w:val="0"/>
          <w:sz w:val="32"/>
        </w:rPr>
        <w:t>2024年度且末县总工会本级（行政单位和参照公务员法管理事业单位）机关运行经费支出2.97万元，比上年减少0.61万元，下降17.04%，主要原因是：严控经费支出，厉行节约，减少经费支出。</w:t>
      </w:r>
    </w:p>
    <w:p w14:paraId="25277279">
      <w:pPr>
        <w:spacing w:line="640" w:lineRule="exact"/>
        <w:ind w:firstLine="640"/>
        <w:jc w:val="both"/>
        <w:outlineLvl w:val="3"/>
      </w:pPr>
      <w:r>
        <w:rPr>
          <w:rFonts w:ascii="楷体_GB2312" w:hAnsi="楷体_GB2312" w:eastAsia="楷体_GB2312"/>
          <w:b/>
          <w:sz w:val="32"/>
        </w:rPr>
        <w:t>（二）政府采购情况</w:t>
      </w:r>
    </w:p>
    <w:p w14:paraId="61BF5AA8">
      <w:pPr>
        <w:spacing w:line="580" w:lineRule="exact"/>
        <w:ind w:firstLine="640"/>
        <w:jc w:val="both"/>
      </w:pPr>
      <w:r>
        <w:rPr>
          <w:rFonts w:ascii="仿宋_GB2312" w:hAnsi="仿宋_GB2312" w:eastAsia="仿宋_GB2312"/>
          <w:b w:val="0"/>
          <w:sz w:val="32"/>
        </w:rPr>
        <w:t>2024年度政府采购支出总额0.69万元，其中：政府采购货物支出0.00万元、政府采购工程支出0.00万元、政府采购服务支出0.69万元。</w:t>
      </w:r>
    </w:p>
    <w:p w14:paraId="4A7013D2">
      <w:pPr>
        <w:spacing w:line="580" w:lineRule="exact"/>
        <w:ind w:firstLine="640"/>
        <w:jc w:val="both"/>
      </w:pPr>
      <w:r>
        <w:rPr>
          <w:rFonts w:ascii="仿宋_GB2312" w:hAnsi="仿宋_GB2312" w:eastAsia="仿宋_GB2312"/>
          <w:b w:val="0"/>
          <w:sz w:val="32"/>
        </w:rPr>
        <w:t>授予中小企业合同金额0.69万元，占政府采购支出总额的100.00%，其中：授予小微企业合同金额0.69万元，占政府采购支出总额的100.00%。</w:t>
      </w:r>
    </w:p>
    <w:p w14:paraId="45352436">
      <w:pPr>
        <w:spacing w:line="640" w:lineRule="exact"/>
        <w:ind w:firstLine="640"/>
        <w:jc w:val="both"/>
        <w:outlineLvl w:val="3"/>
      </w:pPr>
      <w:r>
        <w:rPr>
          <w:rFonts w:ascii="楷体_GB2312" w:hAnsi="楷体_GB2312" w:eastAsia="楷体_GB2312"/>
          <w:b/>
          <w:sz w:val="32"/>
        </w:rPr>
        <w:t>（三）国有资产占用情况说明</w:t>
      </w:r>
    </w:p>
    <w:p w14:paraId="2A0D457D">
      <w:pPr>
        <w:spacing w:line="580" w:lineRule="exact"/>
        <w:ind w:firstLine="640"/>
        <w:jc w:val="both"/>
      </w:pPr>
      <w:r>
        <w:rPr>
          <w:rFonts w:ascii="仿宋_GB2312" w:hAnsi="仿宋_GB2312" w:eastAsia="仿宋_GB2312"/>
          <w:b w:val="0"/>
          <w:sz w:val="32"/>
        </w:rPr>
        <w:t>截至2024年12月31日，房屋0.00平方米，价值0.00万元。车辆1辆，价值15.00万元，其中：副部（省）级及以上领导用车0辆、主要负责人用车1辆、机要通信用车0辆、应急保障用车0辆、执法执勤用车0辆、特种专业技术用车0辆、离退休干部服务用车0辆、其他用车0辆，其他用车主要是：本部门无其他用车。单价100万元（含）以上设备（不含车辆）0台（套）。</w:t>
      </w:r>
    </w:p>
    <w:p w14:paraId="07AEEEFF">
      <w:pPr>
        <w:spacing w:line="640" w:lineRule="exact"/>
        <w:ind w:firstLine="640"/>
        <w:jc w:val="both"/>
        <w:outlineLvl w:val="2"/>
      </w:pPr>
      <w:r>
        <w:rPr>
          <w:rFonts w:ascii="黑体" w:hAnsi="黑体" w:eastAsia="黑体"/>
          <w:sz w:val="32"/>
        </w:rPr>
        <w:t>十一、预算绩效的情况说明</w:t>
      </w:r>
    </w:p>
    <w:p w14:paraId="4DDAF4B0">
      <w:pPr>
        <w:spacing w:line="580" w:lineRule="exact"/>
        <w:ind w:firstLine="640"/>
        <w:jc w:val="both"/>
      </w:pPr>
      <w:r>
        <w:rPr>
          <w:rFonts w:ascii="仿宋_GB2312" w:hAnsi="仿宋_GB2312" w:eastAsia="仿宋_GB2312"/>
          <w:b w:val="0"/>
          <w:sz w:val="32"/>
        </w:rPr>
        <w:t>根据预算绩效管理要求，本部门2024年度预算绩效管理形成整体支出绩效自评表1个，全年预算总额85.16万元，实际执行总额85.16万元；预算绩效评价项目0个，全年预算数0.00万元，全年执行数0.00万元。预算绩效管理取得的成效：本部门本年无项目支出绩效自评表。发现的问题及原因：本部门本年无项目支出绩效自评表。下一步改进措施：本部门本年无项目支出绩效自评表。具体附部门整体支出绩效自评表。</w:t>
      </w:r>
    </w:p>
    <w:p w14:paraId="3E91352A">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12D1AC08">
        <w:tblPrEx>
          <w:tblCellMar>
            <w:top w:w="0" w:type="dxa"/>
            <w:left w:w="108" w:type="dxa"/>
            <w:bottom w:w="0" w:type="dxa"/>
            <w:right w:w="108" w:type="dxa"/>
          </w:tblCellMar>
        </w:tblPrEx>
        <w:tc>
          <w:tcPr>
            <w:tcW w:w="8840" w:type="dxa"/>
            <w:gridSpan w:val="8"/>
            <w:vAlign w:val="center"/>
          </w:tcPr>
          <w:p w14:paraId="1DA20D80">
            <w:pPr>
              <w:jc w:val="center"/>
            </w:pPr>
            <w:r>
              <w:rPr>
                <w:rFonts w:ascii="宋体" w:hAnsi="宋体" w:eastAsia="宋体"/>
                <w:sz w:val="24"/>
              </w:rPr>
              <w:t>部门整体支出绩效自评表</w:t>
            </w:r>
          </w:p>
        </w:tc>
      </w:tr>
      <w:tr w14:paraId="69D81F1D">
        <w:tblPrEx>
          <w:tblCellMar>
            <w:top w:w="0" w:type="dxa"/>
            <w:left w:w="108" w:type="dxa"/>
            <w:bottom w:w="0" w:type="dxa"/>
            <w:right w:w="108" w:type="dxa"/>
          </w:tblCellMar>
        </w:tblPrEx>
        <w:tc>
          <w:tcPr>
            <w:tcW w:w="8840" w:type="dxa"/>
            <w:gridSpan w:val="8"/>
            <w:vAlign w:val="center"/>
          </w:tcPr>
          <w:p w14:paraId="06DEA8E9">
            <w:pPr>
              <w:jc w:val="center"/>
            </w:pPr>
            <w:r>
              <w:rPr>
                <w:rFonts w:ascii="宋体" w:hAnsi="宋体" w:eastAsia="宋体"/>
                <w:sz w:val="24"/>
              </w:rPr>
              <w:t>（2024年度）</w:t>
            </w:r>
          </w:p>
        </w:tc>
      </w:tr>
      <w:tr w14:paraId="4334BA0A">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A30636">
            <w:pPr>
              <w:jc w:val="center"/>
            </w:pPr>
            <w:r>
              <w:rPr>
                <w:rFonts w:ascii="宋体" w:hAnsi="宋体" w:eastAsia="宋体"/>
                <w:sz w:val="16"/>
              </w:rPr>
              <w:t>部门名称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88C58D">
            <w:pPr>
              <w:jc w:val="center"/>
            </w:pPr>
            <w:r>
              <w:rPr>
                <w:rFonts w:ascii="宋体" w:hAnsi="宋体" w:eastAsia="宋体"/>
                <w:sz w:val="16"/>
              </w:rPr>
              <w:t>且末县总工会本级</w:t>
            </w:r>
          </w:p>
        </w:tc>
      </w:tr>
      <w:tr w14:paraId="2F200F8D">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BA0E60">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F85400">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213766">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BE00C9">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E1F996">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CC43E7">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5D866D">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AB0679">
            <w:pPr>
              <w:jc w:val="center"/>
            </w:pPr>
            <w:r>
              <w:rPr>
                <w:rFonts w:ascii="宋体" w:hAnsi="宋体" w:eastAsia="宋体"/>
                <w:sz w:val="16"/>
              </w:rPr>
              <w:t>得分</w:t>
            </w:r>
          </w:p>
        </w:tc>
      </w:tr>
      <w:tr w14:paraId="2490875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A10E07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5BCCC2">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20B5F8">
            <w:pPr>
              <w:jc w:val="center"/>
            </w:pPr>
            <w:r>
              <w:rPr>
                <w:rFonts w:ascii="宋体" w:hAnsi="宋体" w:eastAsia="宋体"/>
                <w:sz w:val="16"/>
              </w:rPr>
              <w:t>80.71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D3369B">
            <w:pPr>
              <w:jc w:val="center"/>
            </w:pPr>
            <w:r>
              <w:rPr>
                <w:rFonts w:ascii="宋体" w:hAnsi="宋体" w:eastAsia="宋体"/>
                <w:sz w:val="16"/>
              </w:rPr>
              <w:t>85.16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A616E5">
            <w:pPr>
              <w:jc w:val="center"/>
            </w:pPr>
            <w:r>
              <w:rPr>
                <w:rFonts w:ascii="宋体" w:hAnsi="宋体" w:eastAsia="宋体"/>
                <w:sz w:val="16"/>
              </w:rPr>
              <w:t>85.16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46DEA9">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1F5187">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B9AE32">
            <w:pPr>
              <w:jc w:val="center"/>
            </w:pPr>
            <w:r>
              <w:rPr>
                <w:rFonts w:ascii="宋体" w:hAnsi="宋体" w:eastAsia="宋体"/>
                <w:sz w:val="16"/>
              </w:rPr>
              <w:t>10</w:t>
            </w:r>
          </w:p>
        </w:tc>
      </w:tr>
      <w:tr w14:paraId="331C984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4E5299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71659F">
            <w:pPr>
              <w:jc w:val="center"/>
            </w:pPr>
            <w:r>
              <w:rPr>
                <w:rFonts w:ascii="宋体" w:hAnsi="宋体" w:eastAsia="宋体"/>
                <w:sz w:val="16"/>
              </w:rPr>
              <w:t>其中:上级安排（万元）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D6BC8D">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46DF18">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B78D77">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20831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FC6C4C">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B434C6">
            <w:pPr>
              <w:jc w:val="center"/>
            </w:pPr>
            <w:r>
              <w:rPr>
                <w:rFonts w:ascii="宋体" w:hAnsi="宋体" w:eastAsia="宋体"/>
                <w:sz w:val="16"/>
              </w:rPr>
              <w:t>-</w:t>
            </w:r>
          </w:p>
        </w:tc>
      </w:tr>
      <w:tr w14:paraId="36BB8E7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DF057A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555690">
            <w:pPr>
              <w:jc w:val="center"/>
            </w:pPr>
            <w:r>
              <w:rPr>
                <w:rFonts w:ascii="宋体" w:hAnsi="宋体" w:eastAsia="宋体"/>
                <w:sz w:val="16"/>
              </w:rPr>
              <w:t>本级安排（万元）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2ABA35">
            <w:pPr>
              <w:jc w:val="center"/>
            </w:pPr>
            <w:r>
              <w:rPr>
                <w:rFonts w:ascii="宋体" w:hAnsi="宋体" w:eastAsia="宋体"/>
                <w:sz w:val="16"/>
              </w:rPr>
              <w:t>80.71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8C516C">
            <w:pPr>
              <w:jc w:val="center"/>
            </w:pPr>
            <w:r>
              <w:rPr>
                <w:rFonts w:ascii="宋体" w:hAnsi="宋体" w:eastAsia="宋体"/>
                <w:sz w:val="16"/>
              </w:rPr>
              <w:t>85.16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AD297C">
            <w:pPr>
              <w:jc w:val="center"/>
            </w:pPr>
            <w:r>
              <w:rPr>
                <w:rFonts w:ascii="宋体" w:hAnsi="宋体" w:eastAsia="宋体"/>
                <w:sz w:val="16"/>
              </w:rPr>
              <w:t>85.16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BE36C8">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EE0B9C">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726588">
            <w:pPr>
              <w:jc w:val="center"/>
            </w:pPr>
            <w:r>
              <w:rPr>
                <w:rFonts w:ascii="宋体" w:hAnsi="宋体" w:eastAsia="宋体"/>
                <w:sz w:val="16"/>
              </w:rPr>
              <w:t>-</w:t>
            </w:r>
          </w:p>
        </w:tc>
      </w:tr>
      <w:tr w14:paraId="5B2D3CE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4F6B8C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A4A0CB">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43FB0F">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2DF59B">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E50B49">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FEAF65">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62C57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140A35">
            <w:pPr>
              <w:jc w:val="center"/>
            </w:pPr>
            <w:r>
              <w:rPr>
                <w:rFonts w:ascii="宋体" w:hAnsi="宋体" w:eastAsia="宋体"/>
                <w:sz w:val="16"/>
              </w:rPr>
              <w:t>-</w:t>
            </w:r>
          </w:p>
        </w:tc>
      </w:tr>
      <w:tr w14:paraId="50B532F2">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F85B94">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DDE0133">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956C4D0">
            <w:pPr>
              <w:jc w:val="center"/>
            </w:pPr>
            <w:r>
              <w:rPr>
                <w:rFonts w:ascii="宋体" w:hAnsi="宋体" w:eastAsia="宋体"/>
                <w:sz w:val="16"/>
              </w:rPr>
              <w:t>实际完成情况</w:t>
            </w:r>
          </w:p>
        </w:tc>
      </w:tr>
      <w:tr w14:paraId="4C8CAA0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F819ED9"/>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C3D1BF9">
            <w:pPr>
              <w:jc w:val="both"/>
            </w:pPr>
            <w:r>
              <w:rPr>
                <w:rFonts w:ascii="宋体" w:hAnsi="宋体" w:eastAsia="宋体"/>
                <w:sz w:val="16"/>
              </w:rPr>
              <w:t>持续深入学习贯彻党的二十大精神，围绕推动高质量发展，持之以恒深化产业工人队伍建设改革，扎实做好新形势下的维权服务工作，努力解决职工群众的急难愁盼问题，加强职工队伍风险隐患排查化解，切实维护劳动领域政治安全，践行服务职工宗旨，不断提升职工生活品质，加强工会能力建设，推进工会系统党的建设高质量发展，推进职工文化建设，在满足职工精神富有上再创新业绩。保障总工会在职在编</w:t>
            </w:r>
            <w:r>
              <w:rPr>
                <w:rFonts w:hint="eastAsia" w:ascii="宋体" w:hAnsi="宋体"/>
                <w:sz w:val="16"/>
                <w:lang w:eastAsia="zh-CN"/>
              </w:rPr>
              <w:t>人员</w:t>
            </w:r>
            <w:r>
              <w:rPr>
                <w:rFonts w:ascii="宋体" w:hAnsi="宋体" w:eastAsia="宋体"/>
                <w:sz w:val="16"/>
              </w:rPr>
              <w:t>3人，离退休人员9人的正常生活</w:t>
            </w:r>
            <w:r>
              <w:rPr>
                <w:rFonts w:hint="eastAsia" w:ascii="宋体" w:hAnsi="宋体"/>
                <w:sz w:val="16"/>
                <w:lang w:eastAsia="zh-CN"/>
              </w:rPr>
              <w:t>秩序</w:t>
            </w:r>
            <w:r>
              <w:rPr>
                <w:rFonts w:ascii="宋体" w:hAnsi="宋体" w:eastAsia="宋体"/>
                <w:sz w:val="16"/>
              </w:rPr>
              <w:t>；</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7C02A88">
            <w:pPr>
              <w:jc w:val="both"/>
            </w:pPr>
            <w:r>
              <w:rPr>
                <w:rFonts w:ascii="宋体" w:hAnsi="宋体" w:eastAsia="宋体"/>
                <w:sz w:val="16"/>
              </w:rPr>
              <w:t>2024年且末县总工会年初预算是80.71万元，全年执行数85.16万元。且末县总工会维护各基层工会10500人职工合法权益，组织基层工会干部职工开展了30次活动，开展了3次的劳动模范座谈会，持续开展11家建档立卡困难职工困难问题，继续加大工会力度争取了20个基层工会的组建，</w:t>
            </w:r>
            <w:r>
              <w:rPr>
                <w:rFonts w:hint="eastAsia" w:ascii="宋体" w:hAnsi="宋体"/>
                <w:sz w:val="16"/>
                <w:lang w:eastAsia="zh-CN"/>
              </w:rPr>
              <w:t>“三公”经费</w:t>
            </w:r>
            <w:r>
              <w:rPr>
                <w:rFonts w:ascii="宋体" w:hAnsi="宋体" w:eastAsia="宋体"/>
                <w:sz w:val="16"/>
              </w:rPr>
              <w:t>控制率达到100%，及时发放工会宣传手册，2025年按时完成各项工作，完成了46人的就业问题，继续完善加大工作力度争取了签订单位 ，企业的满意度达到了95%。</w:t>
            </w:r>
          </w:p>
        </w:tc>
      </w:tr>
      <w:tr w14:paraId="01D8C4E6">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C0A093">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B76152">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A40889">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4074FE">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1C5D78">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D7BB06">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E7702E">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0E232B">
            <w:pPr>
              <w:jc w:val="center"/>
            </w:pPr>
            <w:r>
              <w:rPr>
                <w:rFonts w:ascii="宋体" w:hAnsi="宋体" w:eastAsia="宋体"/>
                <w:sz w:val="16"/>
              </w:rPr>
              <w:t>得分</w:t>
            </w:r>
          </w:p>
        </w:tc>
      </w:tr>
      <w:tr w14:paraId="17C5AF1F">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8A710A">
            <w:pPr>
              <w:jc w:val="center"/>
            </w:pPr>
            <w:r>
              <w:rPr>
                <w:rFonts w:ascii="宋体" w:hAnsi="宋体" w:eastAsia="宋体"/>
                <w:sz w:val="16"/>
              </w:rPr>
              <w:t>运行成本</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0A6F51">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17F6DF">
            <w:pPr>
              <w:jc w:val="center"/>
            </w:pPr>
            <w:r>
              <w:rPr>
                <w:rFonts w:ascii="宋体" w:hAnsi="宋体" w:eastAsia="宋体"/>
                <w:sz w:val="16"/>
              </w:rPr>
              <w:t>组织基层工会干部</w:t>
            </w:r>
            <w:r>
              <w:rPr>
                <w:rFonts w:hint="eastAsia" w:ascii="宋体" w:hAnsi="宋体"/>
                <w:sz w:val="16"/>
                <w:lang w:eastAsia="zh-CN"/>
              </w:rPr>
              <w:t>职工</w:t>
            </w:r>
            <w:r>
              <w:rPr>
                <w:rFonts w:ascii="宋体" w:hAnsi="宋体" w:eastAsia="宋体"/>
                <w:sz w:val="16"/>
              </w:rPr>
              <w:t>开展活动（次）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7FA5E2">
            <w:pPr>
              <w:jc w:val="center"/>
            </w:pPr>
            <w:r>
              <w:rPr>
                <w:rFonts w:ascii="宋体" w:hAnsi="宋体" w:eastAsia="宋体"/>
                <w:sz w:val="16"/>
              </w:rPr>
              <w:t>&gt;=30次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D24C79">
            <w:pPr>
              <w:jc w:val="center"/>
            </w:pPr>
            <w:r>
              <w:rPr>
                <w:rFonts w:ascii="宋体" w:hAnsi="宋体" w:eastAsia="宋体"/>
                <w:sz w:val="16"/>
              </w:rPr>
              <w:t>自治区总工会要求</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DF779E">
            <w:pPr>
              <w:jc w:val="center"/>
            </w:pPr>
            <w:r>
              <w:rPr>
                <w:rFonts w:ascii="宋体" w:hAnsi="宋体" w:eastAsia="宋体"/>
                <w:sz w:val="16"/>
              </w:rPr>
              <w:t>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FCA99C">
            <w:pPr>
              <w:jc w:val="center"/>
            </w:pPr>
            <w:r>
              <w:rPr>
                <w:rFonts w:ascii="宋体" w:hAnsi="宋体" w:eastAsia="宋体"/>
                <w:sz w:val="16"/>
              </w:rPr>
              <w:t>32次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7F7646">
            <w:pPr>
              <w:jc w:val="center"/>
            </w:pPr>
            <w:r>
              <w:rPr>
                <w:rFonts w:ascii="宋体" w:hAnsi="宋体" w:eastAsia="宋体"/>
                <w:sz w:val="16"/>
              </w:rPr>
              <w:t>9</w:t>
            </w:r>
          </w:p>
        </w:tc>
      </w:tr>
      <w:tr w14:paraId="2519930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B8C1907"/>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374CB3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34F54C">
            <w:pPr>
              <w:jc w:val="center"/>
            </w:pPr>
            <w:r>
              <w:rPr>
                <w:rFonts w:ascii="宋体" w:hAnsi="宋体" w:eastAsia="宋体"/>
                <w:sz w:val="16"/>
              </w:rPr>
              <w:t>开展三级劳模座谈会和展会次数（次）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F8C117">
            <w:pPr>
              <w:jc w:val="center"/>
            </w:pPr>
            <w:r>
              <w:rPr>
                <w:rFonts w:ascii="宋体" w:hAnsi="宋体" w:eastAsia="宋体"/>
                <w:sz w:val="16"/>
              </w:rPr>
              <w:t>&gt;=3次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81CC19">
            <w:pPr>
              <w:jc w:val="center"/>
            </w:pPr>
            <w:r>
              <w:rPr>
                <w:rFonts w:ascii="宋体" w:hAnsi="宋体" w:eastAsia="宋体"/>
                <w:sz w:val="16"/>
              </w:rPr>
              <w:t>自治区总工会要求</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2CB47F">
            <w:pPr>
              <w:jc w:val="center"/>
            </w:pPr>
            <w:r>
              <w:rPr>
                <w:rFonts w:ascii="宋体" w:hAnsi="宋体" w:eastAsia="宋体"/>
                <w:sz w:val="16"/>
              </w:rPr>
              <w:t>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83D78E">
            <w:pPr>
              <w:jc w:val="center"/>
            </w:pPr>
            <w:r>
              <w:rPr>
                <w:rFonts w:ascii="宋体" w:hAnsi="宋体" w:eastAsia="宋体"/>
                <w:sz w:val="16"/>
              </w:rPr>
              <w:t>3次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51B853">
            <w:pPr>
              <w:jc w:val="center"/>
            </w:pPr>
            <w:r>
              <w:rPr>
                <w:rFonts w:ascii="宋体" w:hAnsi="宋体" w:eastAsia="宋体"/>
                <w:sz w:val="16"/>
              </w:rPr>
              <w:t>9</w:t>
            </w:r>
          </w:p>
        </w:tc>
      </w:tr>
      <w:tr w14:paraId="011CD1E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D3FF9A3"/>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AB298E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77A26E">
            <w:pPr>
              <w:jc w:val="center"/>
            </w:pPr>
            <w:r>
              <w:rPr>
                <w:rFonts w:ascii="宋体" w:hAnsi="宋体" w:eastAsia="宋体"/>
                <w:sz w:val="16"/>
              </w:rPr>
              <w:t>保障建档立卡困难职工脱贫工作（家）</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4E0B95">
            <w:pPr>
              <w:jc w:val="center"/>
            </w:pPr>
            <w:r>
              <w:rPr>
                <w:rFonts w:ascii="宋体" w:hAnsi="宋体" w:eastAsia="宋体"/>
                <w:sz w:val="16"/>
              </w:rPr>
              <w:t>=11家</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74A12E">
            <w:pPr>
              <w:jc w:val="center"/>
            </w:pPr>
            <w:r>
              <w:rPr>
                <w:rFonts w:ascii="宋体" w:hAnsi="宋体" w:eastAsia="宋体"/>
                <w:sz w:val="16"/>
              </w:rPr>
              <w:t>自治区总工会要求</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C96543">
            <w:pPr>
              <w:jc w:val="center"/>
            </w:pPr>
            <w:r>
              <w:rPr>
                <w:rFonts w:ascii="宋体" w:hAnsi="宋体" w:eastAsia="宋体"/>
                <w:sz w:val="16"/>
              </w:rPr>
              <w:t>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AF5156">
            <w:pPr>
              <w:jc w:val="center"/>
            </w:pPr>
            <w:r>
              <w:rPr>
                <w:rFonts w:ascii="宋体" w:hAnsi="宋体" w:eastAsia="宋体"/>
                <w:sz w:val="16"/>
              </w:rPr>
              <w:t>11家</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D2B810">
            <w:pPr>
              <w:jc w:val="center"/>
            </w:pPr>
            <w:r>
              <w:rPr>
                <w:rFonts w:ascii="宋体" w:hAnsi="宋体" w:eastAsia="宋体"/>
                <w:sz w:val="16"/>
              </w:rPr>
              <w:t>9</w:t>
            </w:r>
          </w:p>
        </w:tc>
      </w:tr>
      <w:tr w14:paraId="0F63770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0FC05C8"/>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6934922"/>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D85468">
            <w:pPr>
              <w:jc w:val="center"/>
            </w:pPr>
            <w:r>
              <w:rPr>
                <w:rFonts w:ascii="宋体" w:hAnsi="宋体" w:eastAsia="宋体"/>
                <w:sz w:val="16"/>
              </w:rPr>
              <w:t>继续加大工作力度争取组建工会单位（个）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B4C560">
            <w:pPr>
              <w:jc w:val="center"/>
            </w:pPr>
            <w:r>
              <w:rPr>
                <w:rFonts w:ascii="宋体" w:hAnsi="宋体" w:eastAsia="宋体"/>
                <w:sz w:val="16"/>
              </w:rPr>
              <w:t>&gt;=10个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C524F7">
            <w:pPr>
              <w:jc w:val="center"/>
            </w:pPr>
            <w:r>
              <w:rPr>
                <w:rFonts w:ascii="宋体" w:hAnsi="宋体" w:eastAsia="宋体"/>
                <w:sz w:val="16"/>
              </w:rPr>
              <w:t>自治区总工会要求</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A3F861">
            <w:pPr>
              <w:jc w:val="center"/>
            </w:pPr>
            <w:r>
              <w:rPr>
                <w:rFonts w:ascii="宋体" w:hAnsi="宋体" w:eastAsia="宋体"/>
                <w:sz w:val="16"/>
              </w:rPr>
              <w:t>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B8A76C">
            <w:pPr>
              <w:jc w:val="center"/>
            </w:pPr>
            <w:r>
              <w:rPr>
                <w:rFonts w:ascii="宋体" w:hAnsi="宋体" w:eastAsia="宋体"/>
                <w:sz w:val="16"/>
              </w:rPr>
              <w:t>12个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6FB773">
            <w:pPr>
              <w:jc w:val="center"/>
            </w:pPr>
            <w:r>
              <w:rPr>
                <w:rFonts w:ascii="宋体" w:hAnsi="宋体" w:eastAsia="宋体"/>
                <w:sz w:val="16"/>
              </w:rPr>
              <w:t>9</w:t>
            </w:r>
          </w:p>
        </w:tc>
      </w:tr>
      <w:tr w14:paraId="0B00169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7B50889"/>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13D421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DB6CD6">
            <w:pPr>
              <w:jc w:val="center"/>
            </w:pPr>
            <w:r>
              <w:rPr>
                <w:rFonts w:hint="eastAsia" w:ascii="宋体" w:hAnsi="宋体"/>
                <w:sz w:val="16"/>
                <w:lang w:eastAsia="zh-CN"/>
              </w:rPr>
              <w:t>“三公”经费</w:t>
            </w:r>
            <w:r>
              <w:rPr>
                <w:rFonts w:ascii="宋体" w:hAnsi="宋体" w:eastAsia="宋体"/>
                <w:sz w:val="16"/>
              </w:rPr>
              <w:t>控制率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8A5733">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FB012E">
            <w:pPr>
              <w:jc w:val="center"/>
            </w:pPr>
            <w:r>
              <w:rPr>
                <w:rFonts w:ascii="宋体" w:hAnsi="宋体" w:eastAsia="宋体"/>
                <w:sz w:val="16"/>
              </w:rPr>
              <w:t>自治区总工会要求</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0B56AA">
            <w:pPr>
              <w:jc w:val="center"/>
            </w:pPr>
            <w:r>
              <w:rPr>
                <w:rFonts w:ascii="宋体" w:hAnsi="宋体" w:eastAsia="宋体"/>
                <w:sz w:val="16"/>
              </w:rPr>
              <w:t>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6B1F2B">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FECFCE">
            <w:pPr>
              <w:jc w:val="center"/>
            </w:pPr>
            <w:r>
              <w:rPr>
                <w:rFonts w:ascii="宋体" w:hAnsi="宋体" w:eastAsia="宋体"/>
                <w:sz w:val="16"/>
              </w:rPr>
              <w:t>9</w:t>
            </w:r>
          </w:p>
        </w:tc>
      </w:tr>
      <w:tr w14:paraId="19CFA9E9">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2DBB59">
            <w:pPr>
              <w:jc w:val="center"/>
            </w:pPr>
            <w:r>
              <w:rPr>
                <w:rFonts w:ascii="宋体" w:hAnsi="宋体" w:eastAsia="宋体"/>
                <w:sz w:val="16"/>
              </w:rPr>
              <w:t>管理效率</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8C3EC0">
            <w:pPr>
              <w:jc w:val="center"/>
            </w:pPr>
            <w:r>
              <w:rPr>
                <w:rFonts w:ascii="宋体" w:hAnsi="宋体" w:eastAsia="宋体"/>
                <w:sz w:val="16"/>
              </w:rPr>
              <w:t>实效指标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4D6FF0">
            <w:pPr>
              <w:jc w:val="center"/>
            </w:pPr>
            <w:r>
              <w:rPr>
                <w:rFonts w:ascii="宋体" w:hAnsi="宋体" w:eastAsia="宋体"/>
                <w:sz w:val="16"/>
              </w:rPr>
              <w:t>开展工会日常工作效率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9CA503">
            <w:pPr>
              <w:jc w:val="center"/>
            </w:pPr>
            <w:r>
              <w:rPr>
                <w:rFonts w:ascii="宋体" w:hAnsi="宋体" w:eastAsia="宋体"/>
                <w:sz w:val="16"/>
              </w:rPr>
              <w:t>&gt;=98%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E6500E">
            <w:pPr>
              <w:jc w:val="center"/>
            </w:pPr>
            <w:r>
              <w:rPr>
                <w:rFonts w:ascii="宋体" w:hAnsi="宋体" w:eastAsia="宋体"/>
                <w:sz w:val="16"/>
              </w:rPr>
              <w:t>自治区总工会要求</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3FF61F">
            <w:pPr>
              <w:jc w:val="center"/>
            </w:pPr>
            <w:r>
              <w:rPr>
                <w:rFonts w:ascii="宋体" w:hAnsi="宋体" w:eastAsia="宋体"/>
                <w:sz w:val="16"/>
              </w:rPr>
              <w:t>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8D5B2E">
            <w:pPr>
              <w:jc w:val="center"/>
            </w:pPr>
            <w:r>
              <w:rPr>
                <w:rFonts w:ascii="宋体" w:hAnsi="宋体" w:eastAsia="宋体"/>
                <w:sz w:val="16"/>
              </w:rPr>
              <w:t>98%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F71819">
            <w:pPr>
              <w:jc w:val="center"/>
            </w:pPr>
            <w:r>
              <w:rPr>
                <w:rFonts w:ascii="宋体" w:hAnsi="宋体" w:eastAsia="宋体"/>
                <w:sz w:val="16"/>
              </w:rPr>
              <w:t>9</w:t>
            </w:r>
          </w:p>
        </w:tc>
      </w:tr>
      <w:tr w14:paraId="101551C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16CD636"/>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EC2FCA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DC613D">
            <w:pPr>
              <w:jc w:val="center"/>
            </w:pPr>
            <w:r>
              <w:rPr>
                <w:rFonts w:ascii="宋体" w:hAnsi="宋体" w:eastAsia="宋体"/>
                <w:sz w:val="16"/>
              </w:rPr>
              <w:t>发放工会宣传手册（份）</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3A3C1D">
            <w:pPr>
              <w:jc w:val="center"/>
            </w:pPr>
            <w:r>
              <w:rPr>
                <w:rFonts w:ascii="宋体" w:hAnsi="宋体" w:eastAsia="宋体"/>
                <w:sz w:val="16"/>
              </w:rPr>
              <w:t>=100份</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13E48C">
            <w:pPr>
              <w:jc w:val="center"/>
            </w:pPr>
            <w:r>
              <w:rPr>
                <w:rFonts w:ascii="宋体" w:hAnsi="宋体" w:eastAsia="宋体"/>
                <w:sz w:val="16"/>
              </w:rPr>
              <w:t>自治区总工会要求</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D9AA6E">
            <w:pPr>
              <w:jc w:val="center"/>
            </w:pPr>
            <w:r>
              <w:rPr>
                <w:rFonts w:ascii="宋体" w:hAnsi="宋体" w:eastAsia="宋体"/>
                <w:sz w:val="16"/>
              </w:rPr>
              <w:t>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668C76">
            <w:pPr>
              <w:jc w:val="center"/>
            </w:pPr>
            <w:r>
              <w:rPr>
                <w:rFonts w:ascii="宋体" w:hAnsi="宋体" w:eastAsia="宋体"/>
                <w:sz w:val="16"/>
              </w:rPr>
              <w:t>350份</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4716FE">
            <w:pPr>
              <w:jc w:val="center"/>
            </w:pPr>
            <w:r>
              <w:rPr>
                <w:rFonts w:ascii="宋体" w:hAnsi="宋体" w:eastAsia="宋体"/>
                <w:sz w:val="16"/>
              </w:rPr>
              <w:t>9</w:t>
            </w:r>
          </w:p>
        </w:tc>
      </w:tr>
      <w:tr w14:paraId="5A5FF2FC">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61499E">
            <w:pPr>
              <w:jc w:val="center"/>
            </w:pPr>
            <w:r>
              <w:rPr>
                <w:rFonts w:ascii="宋体" w:hAnsi="宋体" w:eastAsia="宋体"/>
                <w:sz w:val="16"/>
              </w:rPr>
              <w:t>履职效能</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F92A78">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95E6F6">
            <w:pPr>
              <w:jc w:val="center"/>
            </w:pPr>
            <w:r>
              <w:rPr>
                <w:rFonts w:ascii="宋体" w:hAnsi="宋体" w:eastAsia="宋体"/>
                <w:sz w:val="16"/>
              </w:rPr>
              <w:t>总工会各项工作按时间节点达到预期值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02F226">
            <w:pPr>
              <w:jc w:val="center"/>
            </w:pPr>
            <w:r>
              <w:rPr>
                <w:rFonts w:ascii="宋体" w:hAnsi="宋体" w:eastAsia="宋体"/>
                <w:sz w:val="16"/>
              </w:rPr>
              <w:t>=2024年度内完成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CAC70A">
            <w:pPr>
              <w:jc w:val="center"/>
            </w:pPr>
            <w:r>
              <w:rPr>
                <w:rFonts w:ascii="宋体" w:hAnsi="宋体" w:eastAsia="宋体"/>
                <w:sz w:val="16"/>
              </w:rPr>
              <w:t>相关部门文件要求</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980E92">
            <w:pPr>
              <w:jc w:val="center"/>
            </w:pPr>
            <w:r>
              <w:rPr>
                <w:rFonts w:ascii="宋体" w:hAnsi="宋体" w:eastAsia="宋体"/>
                <w:sz w:val="16"/>
              </w:rPr>
              <w:t>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D44B38">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777B22">
            <w:pPr>
              <w:jc w:val="center"/>
            </w:pPr>
            <w:r>
              <w:rPr>
                <w:rFonts w:ascii="宋体" w:hAnsi="宋体" w:eastAsia="宋体"/>
                <w:sz w:val="16"/>
              </w:rPr>
              <w:t>9</w:t>
            </w:r>
          </w:p>
        </w:tc>
      </w:tr>
      <w:tr w14:paraId="6327F7A3">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9CCD41">
            <w:pPr>
              <w:jc w:val="center"/>
            </w:pPr>
            <w:r>
              <w:rPr>
                <w:rFonts w:ascii="宋体" w:hAnsi="宋体" w:eastAsia="宋体"/>
                <w:sz w:val="16"/>
              </w:rPr>
              <w:t>社会效益</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0B91A6">
            <w:pPr>
              <w:jc w:val="center"/>
            </w:pPr>
            <w:r>
              <w:rPr>
                <w:rFonts w:ascii="宋体" w:hAnsi="宋体" w:eastAsia="宋体"/>
                <w:sz w:val="16"/>
              </w:rPr>
              <w:t>时效指标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EB48F0">
            <w:pPr>
              <w:jc w:val="center"/>
            </w:pPr>
            <w:r>
              <w:rPr>
                <w:rFonts w:ascii="宋体" w:hAnsi="宋体" w:eastAsia="宋体"/>
                <w:sz w:val="16"/>
              </w:rPr>
              <w:t>新增就业人员（个）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949082">
            <w:pPr>
              <w:jc w:val="center"/>
            </w:pPr>
            <w:r>
              <w:rPr>
                <w:rFonts w:ascii="宋体" w:hAnsi="宋体" w:eastAsia="宋体"/>
                <w:sz w:val="16"/>
              </w:rPr>
              <w:t>&gt;=50人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6B5E8F">
            <w:pPr>
              <w:jc w:val="center"/>
            </w:pPr>
            <w:r>
              <w:rPr>
                <w:rFonts w:ascii="宋体" w:hAnsi="宋体" w:eastAsia="宋体"/>
                <w:sz w:val="16"/>
              </w:rPr>
              <w:t>自治区总工会要求</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FF1AC5">
            <w:pPr>
              <w:jc w:val="center"/>
            </w:pPr>
            <w:r>
              <w:rPr>
                <w:rFonts w:ascii="宋体" w:hAnsi="宋体" w:eastAsia="宋体"/>
                <w:sz w:val="16"/>
              </w:rPr>
              <w:t>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E488DB">
            <w:pPr>
              <w:jc w:val="center"/>
            </w:pPr>
            <w:r>
              <w:rPr>
                <w:rFonts w:ascii="宋体" w:hAnsi="宋体" w:eastAsia="宋体"/>
                <w:sz w:val="16"/>
              </w:rPr>
              <w:t>52人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22B58F">
            <w:pPr>
              <w:jc w:val="center"/>
            </w:pPr>
            <w:r>
              <w:rPr>
                <w:rFonts w:ascii="宋体" w:hAnsi="宋体" w:eastAsia="宋体"/>
                <w:sz w:val="16"/>
              </w:rPr>
              <w:t>9</w:t>
            </w:r>
          </w:p>
        </w:tc>
      </w:tr>
      <w:tr w14:paraId="38F38F86">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8D0752">
            <w:pPr>
              <w:jc w:val="center"/>
            </w:pPr>
            <w:r>
              <w:rPr>
                <w:rFonts w:ascii="宋体" w:hAnsi="宋体" w:eastAsia="宋体"/>
                <w:sz w:val="16"/>
              </w:rPr>
              <w:t>服务对象满意度</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F8CBA9">
            <w:pPr>
              <w:jc w:val="center"/>
            </w:pPr>
            <w:r>
              <w:rPr>
                <w:rFonts w:ascii="宋体" w:hAnsi="宋体" w:eastAsia="宋体"/>
                <w:sz w:val="16"/>
              </w:rPr>
              <w:t>满意度指标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655202">
            <w:pPr>
              <w:jc w:val="center"/>
            </w:pPr>
            <w:r>
              <w:rPr>
                <w:rFonts w:ascii="宋体" w:hAnsi="宋体" w:eastAsia="宋体"/>
                <w:sz w:val="16"/>
              </w:rPr>
              <w:t>会员满意率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C394D1">
            <w:pPr>
              <w:jc w:val="center"/>
            </w:pPr>
            <w:r>
              <w:rPr>
                <w:rFonts w:ascii="宋体" w:hAnsi="宋体" w:eastAsia="宋体"/>
                <w:sz w:val="16"/>
              </w:rPr>
              <w:t>&gt;=95%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1FCE8E">
            <w:pPr>
              <w:jc w:val="center"/>
            </w:pPr>
            <w:r>
              <w:rPr>
                <w:rFonts w:ascii="宋体" w:hAnsi="宋体" w:eastAsia="宋体"/>
                <w:sz w:val="16"/>
              </w:rPr>
              <w:t>自治区总工会要求</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212612">
            <w:pPr>
              <w:jc w:val="center"/>
            </w:pPr>
            <w:r>
              <w:rPr>
                <w:rFonts w:ascii="宋体" w:hAnsi="宋体" w:eastAsia="宋体"/>
                <w:sz w:val="16"/>
              </w:rPr>
              <w:t>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025C73">
            <w:pPr>
              <w:jc w:val="center"/>
            </w:pPr>
            <w:r>
              <w:rPr>
                <w:rFonts w:ascii="宋体" w:hAnsi="宋体" w:eastAsia="宋体"/>
                <w:sz w:val="16"/>
              </w:rPr>
              <w:t>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86067B">
            <w:pPr>
              <w:jc w:val="center"/>
            </w:pPr>
            <w:r>
              <w:rPr>
                <w:rFonts w:ascii="宋体" w:hAnsi="宋体" w:eastAsia="宋体"/>
                <w:sz w:val="16"/>
              </w:rPr>
              <w:t>9</w:t>
            </w:r>
          </w:p>
        </w:tc>
      </w:tr>
    </w:tbl>
    <w:p w14:paraId="2EDDC768">
      <w:r>
        <w:br w:type="page"/>
      </w:r>
    </w:p>
    <w:p w14:paraId="1A1BC534">
      <w:pPr>
        <w:spacing w:line="640" w:lineRule="exact"/>
        <w:ind w:firstLine="640"/>
        <w:jc w:val="both"/>
        <w:outlineLvl w:val="2"/>
      </w:pPr>
      <w:r>
        <w:rPr>
          <w:rFonts w:ascii="黑体" w:hAnsi="黑体" w:eastAsia="黑体"/>
          <w:sz w:val="32"/>
        </w:rPr>
        <w:t>十二、其他需说明的事项</w:t>
      </w:r>
    </w:p>
    <w:p w14:paraId="106B1E64">
      <w:pPr>
        <w:spacing w:line="580" w:lineRule="exact"/>
        <w:ind w:firstLine="640"/>
        <w:jc w:val="both"/>
      </w:pPr>
      <w:r>
        <w:rPr>
          <w:rFonts w:ascii="仿宋_GB2312" w:hAnsi="仿宋_GB2312" w:eastAsia="仿宋_GB2312"/>
          <w:b w:val="0"/>
          <w:sz w:val="32"/>
        </w:rPr>
        <w:t>本部门无其他需说明的事项。</w:t>
      </w:r>
    </w:p>
    <w:p w14:paraId="39D5C6CD">
      <w:r>
        <w:br w:type="page"/>
      </w:r>
    </w:p>
    <w:p w14:paraId="5AC22FAD">
      <w:pPr>
        <w:spacing w:line="240" w:lineRule="auto"/>
        <w:jc w:val="center"/>
        <w:outlineLvl w:val="1"/>
      </w:pPr>
      <w:r>
        <w:rPr>
          <w:rFonts w:ascii="黑体" w:hAnsi="黑体" w:eastAsia="黑体"/>
          <w:sz w:val="32"/>
        </w:rPr>
        <w:t>第三部分 专业名词解释</w:t>
      </w:r>
    </w:p>
    <w:p w14:paraId="6DA62722">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B560D90">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166A97E">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D3DE686">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61909C4">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70CBE1A">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BB2D82A">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92474B8">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2238CF9">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A228B14">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570E9FB">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3704A85">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44480F8">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EFDEE6F">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F7A5CA8">
      <w:r>
        <w:br w:type="page"/>
      </w:r>
    </w:p>
    <w:p w14:paraId="78DD4900">
      <w:pPr>
        <w:spacing w:line="240" w:lineRule="auto"/>
        <w:jc w:val="center"/>
        <w:outlineLvl w:val="1"/>
      </w:pPr>
      <w:r>
        <w:rPr>
          <w:rFonts w:ascii="黑体" w:hAnsi="黑体" w:eastAsia="黑体"/>
          <w:sz w:val="32"/>
        </w:rPr>
        <w:t>第四部分 部门决算报表（见附表）</w:t>
      </w:r>
    </w:p>
    <w:p w14:paraId="2CE4F15A">
      <w:pPr>
        <w:spacing w:line="240" w:lineRule="auto"/>
        <w:ind w:firstLine="640"/>
        <w:jc w:val="both"/>
      </w:pPr>
      <w:r>
        <w:rPr>
          <w:rFonts w:ascii="仿宋_GB2312" w:hAnsi="仿宋_GB2312" w:eastAsia="仿宋_GB2312"/>
          <w:b w:val="0"/>
          <w:sz w:val="32"/>
        </w:rPr>
        <w:t>一、《收入支出决算总表》</w:t>
      </w:r>
    </w:p>
    <w:p w14:paraId="25BBF14B">
      <w:pPr>
        <w:spacing w:line="240" w:lineRule="auto"/>
        <w:ind w:firstLine="640"/>
        <w:jc w:val="both"/>
      </w:pPr>
      <w:r>
        <w:rPr>
          <w:rFonts w:ascii="仿宋_GB2312" w:hAnsi="仿宋_GB2312" w:eastAsia="仿宋_GB2312"/>
          <w:b w:val="0"/>
          <w:sz w:val="32"/>
        </w:rPr>
        <w:t>二、《收入决算表》</w:t>
      </w:r>
    </w:p>
    <w:p w14:paraId="61663C28">
      <w:pPr>
        <w:spacing w:line="240" w:lineRule="auto"/>
        <w:ind w:firstLine="640"/>
        <w:jc w:val="both"/>
      </w:pPr>
      <w:r>
        <w:rPr>
          <w:rFonts w:ascii="仿宋_GB2312" w:hAnsi="仿宋_GB2312" w:eastAsia="仿宋_GB2312"/>
          <w:b w:val="0"/>
          <w:sz w:val="32"/>
        </w:rPr>
        <w:t>三、《支出决算表》</w:t>
      </w:r>
    </w:p>
    <w:p w14:paraId="19C245DB">
      <w:pPr>
        <w:spacing w:line="240" w:lineRule="auto"/>
        <w:ind w:firstLine="640"/>
        <w:jc w:val="both"/>
      </w:pPr>
      <w:r>
        <w:rPr>
          <w:rFonts w:ascii="仿宋_GB2312" w:hAnsi="仿宋_GB2312" w:eastAsia="仿宋_GB2312"/>
          <w:b w:val="0"/>
          <w:sz w:val="32"/>
        </w:rPr>
        <w:t>四、《财政拨款收入支出决算总表》</w:t>
      </w:r>
    </w:p>
    <w:p w14:paraId="475C9F6D">
      <w:pPr>
        <w:spacing w:line="240" w:lineRule="auto"/>
        <w:ind w:firstLine="640"/>
        <w:jc w:val="both"/>
      </w:pPr>
      <w:r>
        <w:rPr>
          <w:rFonts w:ascii="仿宋_GB2312" w:hAnsi="仿宋_GB2312" w:eastAsia="仿宋_GB2312"/>
          <w:b w:val="0"/>
          <w:sz w:val="32"/>
        </w:rPr>
        <w:t>五、《一般公共预算财政拨款支出决算表》</w:t>
      </w:r>
    </w:p>
    <w:p w14:paraId="4A902C7D">
      <w:pPr>
        <w:spacing w:line="240" w:lineRule="auto"/>
        <w:ind w:firstLine="640"/>
        <w:jc w:val="both"/>
      </w:pPr>
      <w:r>
        <w:rPr>
          <w:rFonts w:ascii="仿宋_GB2312" w:hAnsi="仿宋_GB2312" w:eastAsia="仿宋_GB2312"/>
          <w:b w:val="0"/>
          <w:sz w:val="32"/>
        </w:rPr>
        <w:t>六、《一般公共预算财政拨款基本支出决算表》</w:t>
      </w:r>
    </w:p>
    <w:p w14:paraId="04A37B17">
      <w:pPr>
        <w:spacing w:line="240" w:lineRule="auto"/>
        <w:ind w:firstLine="640"/>
        <w:jc w:val="both"/>
      </w:pPr>
      <w:r>
        <w:rPr>
          <w:rFonts w:ascii="仿宋_GB2312" w:hAnsi="仿宋_GB2312" w:eastAsia="仿宋_GB2312"/>
          <w:b w:val="0"/>
          <w:sz w:val="32"/>
        </w:rPr>
        <w:t>七、《政府性基金预算财政拨款收入支出决算表》</w:t>
      </w:r>
    </w:p>
    <w:p w14:paraId="5620AAC5">
      <w:pPr>
        <w:spacing w:line="240" w:lineRule="auto"/>
        <w:ind w:firstLine="640"/>
        <w:jc w:val="both"/>
      </w:pPr>
      <w:r>
        <w:rPr>
          <w:rFonts w:ascii="仿宋_GB2312" w:hAnsi="仿宋_GB2312" w:eastAsia="仿宋_GB2312"/>
          <w:b w:val="0"/>
          <w:sz w:val="32"/>
        </w:rPr>
        <w:t>八、《国有资本经营预算财政拨款收入支出决算表》</w:t>
      </w:r>
    </w:p>
    <w:p w14:paraId="74AE3417">
      <w:pPr>
        <w:spacing w:line="240" w:lineRule="auto"/>
        <w:ind w:firstLine="640"/>
        <w:jc w:val="both"/>
      </w:pPr>
      <w:r>
        <w:rPr>
          <w:rFonts w:ascii="仿宋_GB2312" w:hAnsi="仿宋_GB2312" w:eastAsia="仿宋_GB2312"/>
          <w:b w:val="0"/>
          <w:sz w:val="32"/>
        </w:rPr>
        <w:t>九、《财政拨款“三公”经费支出决算表》</w:t>
      </w:r>
    </w:p>
    <w:p w14:paraId="4A338890">
      <w:pPr>
        <w:spacing w:line="240" w:lineRule="auto"/>
        <w:ind w:firstLine="640"/>
        <w:jc w:val="both"/>
      </w:pPr>
    </w:p>
    <w:p w14:paraId="0897DC23">
      <w:pPr>
        <w:spacing w:line="240" w:lineRule="auto"/>
        <w:ind w:firstLine="640"/>
        <w:jc w:val="both"/>
      </w:pPr>
    </w:p>
    <w:p w14:paraId="01A631E1">
      <w:pPr>
        <w:spacing w:line="240" w:lineRule="auto"/>
        <w:ind w:firstLine="640"/>
        <w:jc w:val="both"/>
      </w:pPr>
    </w:p>
    <w:p w14:paraId="1611605E">
      <w:pPr>
        <w:spacing w:line="240" w:lineRule="auto"/>
        <w:ind w:firstLine="640"/>
        <w:jc w:val="both"/>
      </w:pPr>
    </w:p>
    <w:p w14:paraId="6C48ABDB">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42E19C-1F18-48F6-AD73-8EA40AD41B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3952CE79-8B33-4FEC-9879-1A071B2A02BF}"/>
  </w:font>
  <w:font w:name="仿宋_GB2312">
    <w:panose1 w:val="02010609030101010101"/>
    <w:charset w:val="86"/>
    <w:family w:val="modern"/>
    <w:pitch w:val="default"/>
    <w:sig w:usb0="00000001" w:usb1="080E0000" w:usb2="00000000" w:usb3="00000000" w:csb0="00040000" w:csb1="00000000"/>
    <w:embedRegular r:id="rId3" w:fontKey="{A2444390-1258-4015-BF07-B6974ACFD243}"/>
  </w:font>
  <w:font w:name="楷体_GB2312">
    <w:panose1 w:val="02010609030101010101"/>
    <w:charset w:val="86"/>
    <w:family w:val="auto"/>
    <w:pitch w:val="default"/>
    <w:sig w:usb0="00000001" w:usb1="080E0000" w:usb2="00000000" w:usb3="00000000" w:csb0="00040000" w:csb1="00000000"/>
    <w:embedRegular r:id="rId4" w:fontKey="{92545801-0526-4258-B91A-4BBE077362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C231DF7"/>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4373</Words>
  <Characters>4970</Characters>
  <Lines>0</Lines>
  <Paragraphs>0</Paragraphs>
  <TotalTime>2</TotalTime>
  <ScaleCrop>false</ScaleCrop>
  <LinksUpToDate>false</LinksUpToDate>
  <CharactersWithSpaces>4978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2025-09-26T11:40:36Z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