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9E4AB1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中共且末县委员会党校</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F74BA4E">
      <w:r>
        <w:br w:type="page"/>
      </w:r>
    </w:p>
    <w:p w14:paraId="11146196">
      <w:pPr>
        <w:spacing w:line="640" w:lineRule="exact"/>
        <w:jc w:val="center"/>
        <w:outlineLvl w:val="1"/>
      </w:pPr>
      <w:r>
        <w:rPr>
          <w:rFonts w:ascii="黑体" w:hAnsi="黑体" w:eastAsia="黑体"/>
          <w:sz w:val="32"/>
        </w:rPr>
        <w:t>第一部分 单位概况</w:t>
      </w:r>
    </w:p>
    <w:p w14:paraId="08418824">
      <w:pPr>
        <w:spacing w:line="640" w:lineRule="exact"/>
        <w:ind w:firstLine="640"/>
        <w:jc w:val="both"/>
        <w:outlineLvl w:val="2"/>
      </w:pPr>
      <w:r>
        <w:rPr>
          <w:rFonts w:ascii="黑体" w:hAnsi="黑体" w:eastAsia="黑体"/>
          <w:sz w:val="32"/>
        </w:rPr>
        <w:t>一、主要职能</w:t>
      </w:r>
    </w:p>
    <w:p w14:paraId="53DDEA1E">
      <w:pPr>
        <w:spacing w:line="580" w:lineRule="exact"/>
        <w:ind w:firstLine="640"/>
        <w:jc w:val="both"/>
      </w:pPr>
      <w:r>
        <w:rPr>
          <w:rFonts w:ascii="仿宋_GB2312" w:hAnsi="仿宋_GB2312" w:eastAsia="仿宋_GB2312"/>
          <w:sz w:val="32"/>
        </w:rPr>
        <w:t>1.根据《中国共产党党校工作条例》和县委、县人民政府对干部队伍建设的要求，有计划地培训、轮训各级党政领导干部、公务员、年轻干部、理论宣传骨干、基层干部。</w:t>
      </w:r>
    </w:p>
    <w:p w14:paraId="2CF7FEFD">
      <w:pPr>
        <w:spacing w:line="580" w:lineRule="exact"/>
        <w:ind w:firstLine="640"/>
        <w:jc w:val="both"/>
      </w:pPr>
      <w:r>
        <w:rPr>
          <w:rFonts w:ascii="仿宋_GB2312" w:hAnsi="仿宋_GB2312" w:eastAsia="仿宋_GB2312"/>
          <w:sz w:val="32"/>
        </w:rPr>
        <w:t>2.配合组织人事部门，对学员在校期间的学习和党性锻炼情况进行考核、考察和评议，并向县委组织部提出后备干部推荐建议。</w:t>
      </w:r>
    </w:p>
    <w:p w14:paraId="1DC88817">
      <w:pPr>
        <w:spacing w:line="580" w:lineRule="exact"/>
        <w:ind w:firstLine="640"/>
        <w:jc w:val="both"/>
      </w:pPr>
      <w:r>
        <w:rPr>
          <w:rFonts w:ascii="仿宋_GB2312" w:hAnsi="仿宋_GB2312" w:eastAsia="仿宋_GB2312"/>
          <w:sz w:val="32"/>
        </w:rPr>
        <w:t>3.协助相关部门开展各类培训。合理利用教学设施和师资力量开展党校常规（主体）班次以外的</w:t>
      </w:r>
      <w:r>
        <w:rPr>
          <w:rFonts w:hint="eastAsia" w:ascii="仿宋_GB2312" w:hAnsi="仿宋_GB2312" w:eastAsia="仿宋_GB2312"/>
          <w:sz w:val="32"/>
          <w:lang w:eastAsia="zh-CN"/>
        </w:rPr>
        <w:t>其他</w:t>
      </w:r>
      <w:r>
        <w:rPr>
          <w:rFonts w:ascii="仿宋_GB2312" w:hAnsi="仿宋_GB2312" w:eastAsia="仿宋_GB2312"/>
          <w:sz w:val="32"/>
        </w:rPr>
        <w:t>培训工作，配合县委组织部、县人社校</w:t>
      </w:r>
      <w:r>
        <w:rPr>
          <w:rFonts w:hint="eastAsia" w:ascii="仿宋_GB2312" w:hAnsi="仿宋_GB2312" w:eastAsia="仿宋_GB2312"/>
          <w:sz w:val="32"/>
          <w:lang w:eastAsia="zh-CN"/>
        </w:rPr>
        <w:t>、县</w:t>
      </w:r>
      <w:r>
        <w:rPr>
          <w:rFonts w:ascii="仿宋_GB2312" w:hAnsi="仿宋_GB2312" w:eastAsia="仿宋_GB2312"/>
          <w:sz w:val="32"/>
        </w:rPr>
        <w:t>农业农村校、县扶贫办、县畜牧兽医校等部门做好农村富余劳动力就业技能培训、“冬季攻势”暨干部大轮训等协作办班工作。</w:t>
      </w:r>
    </w:p>
    <w:p w14:paraId="472C2212">
      <w:pPr>
        <w:spacing w:line="580" w:lineRule="exact"/>
        <w:ind w:firstLine="640"/>
        <w:jc w:val="both"/>
      </w:pPr>
      <w:r>
        <w:rPr>
          <w:rFonts w:ascii="仿宋_GB2312" w:hAnsi="仿宋_GB2312" w:eastAsia="仿宋_GB2312"/>
          <w:sz w:val="32"/>
        </w:rPr>
        <w:t>4.承办县委和县人民政府以及相关部门举办的专题研讨班。</w:t>
      </w:r>
    </w:p>
    <w:p w14:paraId="3F661602">
      <w:pPr>
        <w:spacing w:line="580" w:lineRule="exact"/>
        <w:ind w:firstLine="640"/>
        <w:jc w:val="both"/>
      </w:pPr>
      <w:r>
        <w:rPr>
          <w:rFonts w:ascii="仿宋_GB2312" w:hAnsi="仿宋_GB2312" w:eastAsia="仿宋_GB2312"/>
          <w:sz w:val="32"/>
        </w:rPr>
        <w:t>5.加强党的理论研究和宣传，深入研究习近平新时代中国特色社会主义思想、党的路线、方针、政策，针对改革开放和社会主义现代化进程中的重大理论和现实问题，积极开展理论宣传和研究。</w:t>
      </w:r>
    </w:p>
    <w:p w14:paraId="01126E1C">
      <w:pPr>
        <w:spacing w:line="580" w:lineRule="exact"/>
        <w:ind w:firstLine="640"/>
        <w:jc w:val="both"/>
      </w:pPr>
      <w:r>
        <w:rPr>
          <w:rFonts w:ascii="仿宋_GB2312" w:hAnsi="仿宋_GB2312" w:eastAsia="仿宋_GB2312"/>
          <w:sz w:val="32"/>
        </w:rPr>
        <w:t>6.围绕党的中心任务和县委、县人民政府的工作部署，对重大理论问题和现实问题开展调查研究，加强与实际工作部门和政策研究部门之间的合作和交流，为县委、县人民政府决策提供决策咨询，发挥新型智库作用。</w:t>
      </w:r>
    </w:p>
    <w:p w14:paraId="1C38772D">
      <w:pPr>
        <w:spacing w:line="580" w:lineRule="exact"/>
        <w:ind w:firstLine="640"/>
        <w:jc w:val="both"/>
      </w:pPr>
      <w:r>
        <w:rPr>
          <w:rFonts w:ascii="仿宋_GB2312" w:hAnsi="仿宋_GB2312" w:eastAsia="仿宋_GB2312"/>
          <w:sz w:val="32"/>
        </w:rPr>
        <w:t>7.接受上级党校的业务指导，并对乡镇党校教学、科研、智库建设、师资培训、服务保障等工作情况进行调研，提出改进意见和建议。</w:t>
      </w:r>
    </w:p>
    <w:p w14:paraId="5A2DBFCA">
      <w:pPr>
        <w:spacing w:line="580" w:lineRule="exact"/>
        <w:ind w:firstLine="640"/>
        <w:jc w:val="both"/>
      </w:pPr>
      <w:r>
        <w:rPr>
          <w:rFonts w:ascii="仿宋_GB2312" w:hAnsi="仿宋_GB2312" w:eastAsia="仿宋_GB2312"/>
          <w:sz w:val="32"/>
        </w:rPr>
        <w:t>8.统筹党校到支部工作，协调运用“互联网+”现代信息技术，对全县党员进行常态化教育培训。</w:t>
      </w:r>
    </w:p>
    <w:p w14:paraId="6BF1B00D">
      <w:pPr>
        <w:spacing w:line="580" w:lineRule="exact"/>
        <w:ind w:firstLine="640"/>
        <w:jc w:val="both"/>
      </w:pPr>
      <w:r>
        <w:rPr>
          <w:rFonts w:ascii="仿宋_GB2312" w:hAnsi="仿宋_GB2312" w:eastAsia="仿宋_GB2312"/>
          <w:sz w:val="32"/>
        </w:rPr>
        <w:t>9.完成县委、县人民政府交办的其他任务。</w:t>
      </w:r>
    </w:p>
    <w:p w14:paraId="4EFABD00">
      <w:pPr>
        <w:spacing w:line="640" w:lineRule="exact"/>
        <w:ind w:firstLine="640"/>
        <w:jc w:val="both"/>
        <w:outlineLvl w:val="2"/>
      </w:pPr>
      <w:r>
        <w:rPr>
          <w:rFonts w:ascii="黑体" w:hAnsi="黑体" w:eastAsia="黑体"/>
          <w:sz w:val="32"/>
        </w:rPr>
        <w:t>二、机构设置及人员情况</w:t>
      </w:r>
    </w:p>
    <w:p w14:paraId="64BDCF64">
      <w:pPr>
        <w:spacing w:line="580" w:lineRule="exact"/>
        <w:ind w:firstLine="640"/>
        <w:jc w:val="both"/>
      </w:pPr>
      <w:r>
        <w:rPr>
          <w:rFonts w:ascii="仿宋_GB2312" w:hAnsi="仿宋_GB2312" w:eastAsia="仿宋_GB2312"/>
          <w:sz w:val="32"/>
        </w:rPr>
        <w:t>中共且末县委员会党校2024年度，实有人数18人，其中：在职人员13人，增加0人；离休人员0人，增加0人；退休人员5人,增加0人。</w:t>
      </w:r>
    </w:p>
    <w:p w14:paraId="4B01EE49">
      <w:pPr>
        <w:spacing w:line="580" w:lineRule="exact"/>
        <w:ind w:firstLine="640"/>
        <w:jc w:val="both"/>
      </w:pPr>
      <w:r>
        <w:rPr>
          <w:rFonts w:ascii="仿宋_GB2312" w:hAnsi="仿宋_GB2312" w:eastAsia="仿宋_GB2312"/>
          <w:sz w:val="32"/>
        </w:rPr>
        <w:t>中共且末县委员会党校无下属预算单位，下设3个科室，分别是：办公室、教研室、总务室。</w:t>
      </w:r>
    </w:p>
    <w:p w14:paraId="4938E66A">
      <w:r>
        <w:br w:type="page"/>
      </w:r>
    </w:p>
    <w:p w14:paraId="01A3412C">
      <w:pPr>
        <w:spacing w:line="240" w:lineRule="auto"/>
        <w:jc w:val="center"/>
        <w:outlineLvl w:val="1"/>
      </w:pPr>
      <w:r>
        <w:rPr>
          <w:rFonts w:ascii="黑体" w:hAnsi="黑体" w:eastAsia="黑体"/>
          <w:sz w:val="32"/>
        </w:rPr>
        <w:t>第二部分 部门决算情况说明</w:t>
      </w:r>
    </w:p>
    <w:p w14:paraId="63C4CC4E">
      <w:pPr>
        <w:spacing w:line="640" w:lineRule="exact"/>
        <w:ind w:firstLine="640"/>
        <w:jc w:val="both"/>
        <w:outlineLvl w:val="2"/>
      </w:pPr>
      <w:r>
        <w:rPr>
          <w:rFonts w:ascii="黑体" w:hAnsi="黑体" w:eastAsia="黑体"/>
          <w:sz w:val="32"/>
        </w:rPr>
        <w:t>一、收入支出决算总体情况说明</w:t>
      </w:r>
    </w:p>
    <w:p w14:paraId="70954568">
      <w:pPr>
        <w:spacing w:line="580" w:lineRule="exact"/>
        <w:ind w:firstLine="640"/>
        <w:jc w:val="both"/>
      </w:pPr>
      <w:r>
        <w:rPr>
          <w:rFonts w:ascii="仿宋_GB2312" w:hAnsi="仿宋_GB2312" w:eastAsia="仿宋_GB2312"/>
          <w:b/>
          <w:sz w:val="32"/>
        </w:rPr>
        <w:t>2024年度收入总计373.60万元，</w:t>
      </w:r>
      <w:r>
        <w:rPr>
          <w:rFonts w:ascii="仿宋_GB2312" w:hAnsi="仿宋_GB2312" w:eastAsia="仿宋_GB2312"/>
          <w:b w:val="0"/>
          <w:sz w:val="32"/>
        </w:rPr>
        <w:t>其中：本年收入合计373.60万元，使用非财政拨款结余（含专用结余）0.00万元，年初结转和结余0.00万元。</w:t>
      </w:r>
    </w:p>
    <w:p w14:paraId="1E835D34">
      <w:pPr>
        <w:spacing w:line="580" w:lineRule="exact"/>
        <w:ind w:firstLine="640"/>
        <w:jc w:val="both"/>
      </w:pPr>
      <w:r>
        <w:rPr>
          <w:rFonts w:ascii="仿宋_GB2312" w:hAnsi="仿宋_GB2312" w:eastAsia="仿宋_GB2312"/>
          <w:b/>
          <w:sz w:val="32"/>
        </w:rPr>
        <w:t>2024年度支出总计373.60万元，</w:t>
      </w:r>
      <w:r>
        <w:rPr>
          <w:rFonts w:ascii="仿宋_GB2312" w:hAnsi="仿宋_GB2312" w:eastAsia="仿宋_GB2312"/>
          <w:b w:val="0"/>
          <w:sz w:val="32"/>
        </w:rPr>
        <w:t>其中：本年支出合计348.49万元，结余分配0.00万元，年末结转和结余25.11万元。</w:t>
      </w:r>
    </w:p>
    <w:p w14:paraId="730332FE">
      <w:pPr>
        <w:spacing w:line="580" w:lineRule="exact"/>
        <w:ind w:firstLine="640"/>
        <w:jc w:val="both"/>
      </w:pPr>
      <w:r>
        <w:rPr>
          <w:rFonts w:ascii="仿宋_GB2312" w:hAnsi="仿宋_GB2312" w:eastAsia="仿宋_GB2312"/>
          <w:b w:val="0"/>
          <w:sz w:val="32"/>
        </w:rPr>
        <w:t>收入支出总体与上年相比，增加5.32万元，增长1.44%，主要原因是：本年干部教育中青年干部培训班较上年人员增加，经费支出增加。</w:t>
      </w:r>
    </w:p>
    <w:p w14:paraId="3A6495AF">
      <w:pPr>
        <w:spacing w:line="640" w:lineRule="exact"/>
        <w:ind w:firstLine="640"/>
        <w:jc w:val="both"/>
        <w:outlineLvl w:val="2"/>
      </w:pPr>
      <w:r>
        <w:rPr>
          <w:rFonts w:ascii="黑体" w:hAnsi="黑体" w:eastAsia="黑体"/>
          <w:sz w:val="32"/>
        </w:rPr>
        <w:t>二、收入决算情况说明</w:t>
      </w:r>
    </w:p>
    <w:p w14:paraId="47C6B4D0">
      <w:pPr>
        <w:spacing w:line="580" w:lineRule="exact"/>
        <w:ind w:firstLine="640"/>
        <w:jc w:val="both"/>
      </w:pPr>
      <w:r>
        <w:rPr>
          <w:rFonts w:ascii="仿宋_GB2312" w:hAnsi="仿宋_GB2312" w:eastAsia="仿宋_GB2312"/>
          <w:b/>
          <w:sz w:val="32"/>
        </w:rPr>
        <w:t>本年收入373.60万元，</w:t>
      </w:r>
      <w:r>
        <w:rPr>
          <w:rFonts w:ascii="仿宋_GB2312" w:hAnsi="仿宋_GB2312" w:eastAsia="仿宋_GB2312"/>
          <w:b w:val="0"/>
          <w:sz w:val="32"/>
        </w:rPr>
        <w:t>其中：财政拨款收入329.06万元，占88.08%；上级补助收入0.00万元，占0.00%；事业收入0.00万元，占0.00%；经营收入0.00万元，占0.00%；附属单位上缴收入0.00万元，占0.00%；其他收入44.55万元，占11.92%。</w:t>
      </w:r>
    </w:p>
    <w:p w14:paraId="112398E5">
      <w:pPr>
        <w:spacing w:line="640" w:lineRule="exact"/>
        <w:ind w:firstLine="640"/>
        <w:jc w:val="both"/>
        <w:outlineLvl w:val="2"/>
      </w:pPr>
      <w:r>
        <w:rPr>
          <w:rFonts w:ascii="黑体" w:hAnsi="黑体" w:eastAsia="黑体"/>
          <w:sz w:val="32"/>
        </w:rPr>
        <w:t>三、支出决算情况说明</w:t>
      </w:r>
    </w:p>
    <w:p w14:paraId="3D7D1AC6">
      <w:pPr>
        <w:spacing w:line="580" w:lineRule="exact"/>
        <w:ind w:firstLine="640"/>
        <w:jc w:val="both"/>
      </w:pPr>
      <w:r>
        <w:rPr>
          <w:rFonts w:ascii="仿宋_GB2312" w:hAnsi="仿宋_GB2312" w:eastAsia="仿宋_GB2312"/>
          <w:b/>
          <w:sz w:val="32"/>
        </w:rPr>
        <w:t>本年支出348.49万元，</w:t>
      </w:r>
      <w:r>
        <w:rPr>
          <w:rFonts w:ascii="仿宋_GB2312" w:hAnsi="仿宋_GB2312" w:eastAsia="仿宋_GB2312"/>
          <w:b w:val="0"/>
          <w:sz w:val="32"/>
        </w:rPr>
        <w:t>其中：基本支出348.49万元，占100.00%；项目支出0.00万元，占0.00%；上缴上级支出0.00万元，占0.00%；经营支出0.00万元，占0.00%；对附属单位补助支出0.00万元，占0.00%。</w:t>
      </w:r>
    </w:p>
    <w:p w14:paraId="6277064E">
      <w:pPr>
        <w:spacing w:line="640" w:lineRule="exact"/>
        <w:ind w:firstLine="640"/>
        <w:jc w:val="both"/>
        <w:outlineLvl w:val="2"/>
      </w:pPr>
      <w:r>
        <w:rPr>
          <w:rFonts w:ascii="黑体" w:hAnsi="黑体" w:eastAsia="黑体"/>
          <w:sz w:val="32"/>
        </w:rPr>
        <w:t>四、财政拨款收入支出决算总体情况说明</w:t>
      </w:r>
    </w:p>
    <w:p w14:paraId="577E040D">
      <w:pPr>
        <w:spacing w:line="580" w:lineRule="exact"/>
        <w:ind w:firstLine="640"/>
        <w:jc w:val="both"/>
      </w:pPr>
      <w:r>
        <w:rPr>
          <w:rFonts w:ascii="仿宋_GB2312" w:hAnsi="仿宋_GB2312" w:eastAsia="仿宋_GB2312"/>
          <w:b/>
          <w:sz w:val="32"/>
        </w:rPr>
        <w:t>2024年度财政拨款收入总计329.06万元，</w:t>
      </w:r>
      <w:r>
        <w:rPr>
          <w:rFonts w:ascii="仿宋_GB2312" w:hAnsi="仿宋_GB2312" w:eastAsia="仿宋_GB2312"/>
          <w:b w:val="0"/>
          <w:sz w:val="32"/>
        </w:rPr>
        <w:t>其中：年初财政拨款结转和结余0.00万元，本年财政拨款收入329.06万元。</w:t>
      </w:r>
      <w:r>
        <w:rPr>
          <w:rFonts w:ascii="仿宋_GB2312" w:hAnsi="仿宋_GB2312" w:eastAsia="仿宋_GB2312"/>
          <w:b/>
          <w:sz w:val="32"/>
        </w:rPr>
        <w:t>财政拨款支出总计329.06万元，</w:t>
      </w:r>
      <w:r>
        <w:rPr>
          <w:rFonts w:ascii="仿宋_GB2312" w:hAnsi="仿宋_GB2312" w:eastAsia="仿宋_GB2312"/>
          <w:b w:val="0"/>
          <w:sz w:val="32"/>
        </w:rPr>
        <w:t>其中：年末财政拨款结转和结余0.00万元，本年财政拨款支出329.06万元。</w:t>
      </w:r>
    </w:p>
    <w:p w14:paraId="6B06BC5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减少39.22万元，下降10.65%，主要原因是：本年减少国家开放大学管理费。</w:t>
      </w:r>
      <w:r>
        <w:rPr>
          <w:rFonts w:ascii="仿宋_GB2312" w:hAnsi="仿宋_GB2312" w:eastAsia="仿宋_GB2312"/>
          <w:b/>
          <w:sz w:val="32"/>
        </w:rPr>
        <w:t>与年初预算相比，</w:t>
      </w:r>
      <w:r>
        <w:rPr>
          <w:rFonts w:ascii="仿宋_GB2312" w:hAnsi="仿宋_GB2312" w:eastAsia="仿宋_GB2312"/>
          <w:b w:val="0"/>
          <w:sz w:val="32"/>
        </w:rPr>
        <w:t>年初预算数288.30万元，决算数329.06万元，预决算差异率14.14%，主要原因是：年中追加青年干部培训班经费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71406303">
      <w:pPr>
        <w:spacing w:line="640" w:lineRule="exact"/>
        <w:ind w:firstLine="640"/>
        <w:jc w:val="both"/>
        <w:outlineLvl w:val="2"/>
      </w:pPr>
      <w:r>
        <w:rPr>
          <w:rFonts w:ascii="黑体" w:hAnsi="黑体" w:eastAsia="黑体"/>
          <w:sz w:val="32"/>
        </w:rPr>
        <w:t>五、一般公共预算财政拨款支出决算情况说明</w:t>
      </w:r>
    </w:p>
    <w:p w14:paraId="5B3C1C7E">
      <w:pPr>
        <w:spacing w:line="640" w:lineRule="exact"/>
        <w:ind w:firstLine="640"/>
        <w:jc w:val="both"/>
        <w:outlineLvl w:val="3"/>
      </w:pPr>
      <w:r>
        <w:rPr>
          <w:rFonts w:ascii="楷体_GB2312" w:hAnsi="楷体_GB2312" w:eastAsia="楷体_GB2312"/>
          <w:b/>
          <w:sz w:val="32"/>
        </w:rPr>
        <w:t>（一）一般公共预算财政拨款支出决算总体情况</w:t>
      </w:r>
    </w:p>
    <w:p w14:paraId="445D9B90">
      <w:pPr>
        <w:spacing w:line="580" w:lineRule="exact"/>
        <w:ind w:firstLine="640"/>
        <w:jc w:val="both"/>
      </w:pPr>
      <w:r>
        <w:rPr>
          <w:rFonts w:ascii="仿宋_GB2312" w:hAnsi="仿宋_GB2312" w:eastAsia="仿宋_GB2312"/>
          <w:b/>
          <w:sz w:val="32"/>
        </w:rPr>
        <w:t>2024年度一般公共预算财政拨款支出329.06万元，</w:t>
      </w:r>
      <w:r>
        <w:rPr>
          <w:rFonts w:ascii="仿宋_GB2312" w:hAnsi="仿宋_GB2312" w:eastAsia="仿宋_GB2312"/>
          <w:b w:val="0"/>
          <w:sz w:val="32"/>
        </w:rPr>
        <w:t>占本年支出合计的94.42%。</w:t>
      </w:r>
      <w:r>
        <w:rPr>
          <w:rFonts w:ascii="仿宋_GB2312" w:hAnsi="仿宋_GB2312" w:eastAsia="仿宋_GB2312"/>
          <w:b/>
          <w:sz w:val="32"/>
        </w:rPr>
        <w:t>与上年相比，</w:t>
      </w:r>
      <w:r>
        <w:rPr>
          <w:rFonts w:ascii="仿宋_GB2312" w:hAnsi="仿宋_GB2312" w:eastAsia="仿宋_GB2312"/>
          <w:b w:val="0"/>
          <w:sz w:val="32"/>
        </w:rPr>
        <w:t>减少39.22万元，下降10.65%，主要原因是：本年减少国家开放大学管理费。</w:t>
      </w:r>
      <w:r>
        <w:rPr>
          <w:rFonts w:ascii="仿宋_GB2312" w:hAnsi="仿宋_GB2312" w:eastAsia="仿宋_GB2312"/>
          <w:b/>
          <w:sz w:val="32"/>
        </w:rPr>
        <w:t>与年初预算相比,</w:t>
      </w:r>
      <w:r>
        <w:rPr>
          <w:rFonts w:ascii="仿宋_GB2312" w:hAnsi="仿宋_GB2312" w:eastAsia="仿宋_GB2312"/>
          <w:b w:val="0"/>
          <w:sz w:val="32"/>
        </w:rPr>
        <w:t>年初预算数288.30万元，决算数329.06万元，预决算差异率14.14%，主要原因是：年中追加青年干部培训班经费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26DCBE03">
      <w:pPr>
        <w:spacing w:line="640" w:lineRule="exact"/>
        <w:ind w:firstLine="640"/>
        <w:jc w:val="both"/>
        <w:outlineLvl w:val="3"/>
      </w:pPr>
      <w:r>
        <w:rPr>
          <w:rFonts w:ascii="楷体_GB2312" w:hAnsi="楷体_GB2312" w:eastAsia="楷体_GB2312"/>
          <w:b/>
          <w:sz w:val="32"/>
        </w:rPr>
        <w:t>（二）一般公共预算财政拨款支出决算结构情况</w:t>
      </w:r>
    </w:p>
    <w:p w14:paraId="255AA8FB">
      <w:pPr>
        <w:spacing w:line="580" w:lineRule="exact"/>
        <w:ind w:firstLine="640"/>
        <w:jc w:val="both"/>
      </w:pPr>
      <w:r>
        <w:rPr>
          <w:rFonts w:ascii="仿宋_GB2312" w:hAnsi="仿宋_GB2312" w:eastAsia="仿宋_GB2312"/>
          <w:b w:val="0"/>
          <w:sz w:val="32"/>
        </w:rPr>
        <w:t>1.教育支出(类)302.42万元,占91.90%。</w:t>
      </w:r>
    </w:p>
    <w:p w14:paraId="74E0B778">
      <w:pPr>
        <w:spacing w:line="580" w:lineRule="exact"/>
        <w:ind w:firstLine="640"/>
        <w:jc w:val="both"/>
      </w:pPr>
      <w:r>
        <w:rPr>
          <w:rFonts w:ascii="仿宋_GB2312" w:hAnsi="仿宋_GB2312" w:eastAsia="仿宋_GB2312"/>
          <w:b w:val="0"/>
          <w:sz w:val="32"/>
        </w:rPr>
        <w:t>2.社会保障和就业支出(类)26.64万元,占8.10%。</w:t>
      </w:r>
    </w:p>
    <w:p w14:paraId="057007A2">
      <w:pPr>
        <w:spacing w:line="640" w:lineRule="exact"/>
        <w:ind w:firstLine="640"/>
        <w:jc w:val="both"/>
        <w:outlineLvl w:val="3"/>
      </w:pPr>
      <w:r>
        <w:rPr>
          <w:rFonts w:ascii="楷体_GB2312" w:hAnsi="楷体_GB2312" w:eastAsia="楷体_GB2312"/>
          <w:b/>
          <w:sz w:val="32"/>
        </w:rPr>
        <w:t>（三）一般公共预算财政拨款支出决算具体情况</w:t>
      </w:r>
    </w:p>
    <w:p w14:paraId="21CCBD4D">
      <w:pPr>
        <w:spacing w:line="580" w:lineRule="exact"/>
        <w:ind w:firstLine="640"/>
        <w:jc w:val="both"/>
      </w:pPr>
      <w:r>
        <w:rPr>
          <w:rFonts w:ascii="仿宋_GB2312" w:hAnsi="仿宋_GB2312" w:eastAsia="仿宋_GB2312"/>
          <w:b w:val="0"/>
          <w:sz w:val="32"/>
        </w:rPr>
        <w:t>1.教育支出(类)进修及培训(款)干部教育(项):支出决算数为302.42万元，比上年决算减少42.34万元，下降12.28%,主要原因是：本年减少国家开放大学管理费。</w:t>
      </w:r>
    </w:p>
    <w:p w14:paraId="6031837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26.64万元，比上年决算增加3.12万元，增长13.27%,主要原因是：本年在职人员工资基数调增，养老缴费基数上涨，相应支出增加。</w:t>
      </w:r>
    </w:p>
    <w:p w14:paraId="76E9AA8A">
      <w:pPr>
        <w:spacing w:line="640" w:lineRule="exact"/>
        <w:ind w:firstLine="640"/>
        <w:jc w:val="both"/>
        <w:outlineLvl w:val="2"/>
      </w:pPr>
      <w:r>
        <w:rPr>
          <w:rFonts w:ascii="黑体" w:hAnsi="黑体" w:eastAsia="黑体"/>
          <w:sz w:val="32"/>
        </w:rPr>
        <w:t>六、一般公共预算财政拨款基本支出决算情况说明</w:t>
      </w:r>
    </w:p>
    <w:p w14:paraId="7983EAAF">
      <w:pPr>
        <w:spacing w:line="580" w:lineRule="exact"/>
        <w:ind w:firstLine="640"/>
        <w:jc w:val="both"/>
      </w:pPr>
      <w:r>
        <w:rPr>
          <w:rFonts w:ascii="仿宋_GB2312" w:hAnsi="仿宋_GB2312" w:eastAsia="仿宋_GB2312"/>
          <w:b w:val="0"/>
          <w:sz w:val="32"/>
        </w:rPr>
        <w:t>2024年度一般公共预算财政拨款基本支出329.06万元，其中：</w:t>
      </w:r>
      <w:r>
        <w:rPr>
          <w:rFonts w:ascii="仿宋_GB2312" w:hAnsi="仿宋_GB2312" w:eastAsia="仿宋_GB2312"/>
          <w:b/>
          <w:sz w:val="32"/>
        </w:rPr>
        <w:t>人员经费243.78万元，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包括：基本工资、津贴补贴、奖金、机关事业单位基本养老保险缴费、职工基本医疗保险缴费、公务员医疗补助缴费、其他社会保障缴费、住房公积金、退休费、生活补助、奖励金。</w:t>
      </w:r>
    </w:p>
    <w:p w14:paraId="2B91F48A">
      <w:pPr>
        <w:spacing w:line="580" w:lineRule="exact"/>
        <w:ind w:firstLine="640"/>
        <w:jc w:val="both"/>
      </w:pPr>
      <w:r>
        <w:rPr>
          <w:rFonts w:ascii="仿宋_GB2312" w:hAnsi="仿宋_GB2312" w:eastAsia="仿宋_GB2312"/>
          <w:b/>
          <w:sz w:val="32"/>
        </w:rPr>
        <w:t>公用经费85.28万元，</w:t>
      </w:r>
      <w:r>
        <w:rPr>
          <w:rFonts w:ascii="仿宋_GB2312" w:hAnsi="仿宋_GB2312" w:eastAsia="仿宋_GB2312"/>
          <w:b w:val="0"/>
          <w:sz w:val="32"/>
        </w:rPr>
        <w:t>包括：办公费、水费、电费、邮电费、取暖费、物业管理费、差旅费、培训费、劳务费、工会经费、其他交通费用、其他商品和服务支出。</w:t>
      </w:r>
    </w:p>
    <w:p w14:paraId="250575D1">
      <w:pPr>
        <w:spacing w:line="640" w:lineRule="exact"/>
        <w:ind w:firstLine="640"/>
        <w:jc w:val="both"/>
        <w:outlineLvl w:val="2"/>
      </w:pPr>
      <w:r>
        <w:rPr>
          <w:rFonts w:ascii="黑体" w:hAnsi="黑体" w:eastAsia="黑体"/>
          <w:sz w:val="32"/>
        </w:rPr>
        <w:t>七、政府性基金预算财政拨款收入支出决算情况说明</w:t>
      </w:r>
    </w:p>
    <w:p w14:paraId="3B13DDE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51F98C3">
      <w:pPr>
        <w:spacing w:line="640" w:lineRule="exact"/>
        <w:ind w:firstLine="640"/>
        <w:jc w:val="both"/>
        <w:outlineLvl w:val="2"/>
      </w:pPr>
      <w:r>
        <w:rPr>
          <w:rFonts w:ascii="黑体" w:hAnsi="黑体" w:eastAsia="黑体"/>
          <w:sz w:val="32"/>
        </w:rPr>
        <w:t>八、国有资本经营预算财政拨款收入支出决算情况说明</w:t>
      </w:r>
    </w:p>
    <w:p w14:paraId="710AC6A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DF8DA76">
      <w:pPr>
        <w:spacing w:line="640" w:lineRule="exact"/>
        <w:ind w:firstLine="640"/>
        <w:jc w:val="both"/>
        <w:outlineLvl w:val="2"/>
      </w:pPr>
      <w:r>
        <w:rPr>
          <w:rFonts w:ascii="黑体" w:hAnsi="黑体" w:eastAsia="黑体"/>
          <w:sz w:val="32"/>
        </w:rPr>
        <w:t>九、财政拨款“三公”经费支出决算情况说明</w:t>
      </w:r>
    </w:p>
    <w:p w14:paraId="152B428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55992B7">
      <w:pPr>
        <w:spacing w:line="580" w:lineRule="exact"/>
        <w:ind w:firstLine="640"/>
        <w:jc w:val="both"/>
      </w:pPr>
      <w:r>
        <w:rPr>
          <w:rFonts w:ascii="仿宋_GB2312" w:hAnsi="仿宋_GB2312" w:eastAsia="仿宋_GB2312"/>
          <w:b/>
          <w:sz w:val="32"/>
        </w:rPr>
        <w:t>具体情况如下：</w:t>
      </w:r>
    </w:p>
    <w:p w14:paraId="1117E83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E45C4D7">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由县机关事务中心使用和负责经费保障。</w:t>
      </w:r>
      <w:bookmarkStart w:id="0" w:name="_GoBack"/>
      <w:bookmarkEnd w:id="0"/>
    </w:p>
    <w:p w14:paraId="3005061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C2CFA9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CBB11ED">
      <w:pPr>
        <w:spacing w:line="640" w:lineRule="exact"/>
        <w:ind w:firstLine="640"/>
        <w:jc w:val="both"/>
        <w:outlineLvl w:val="2"/>
      </w:pPr>
      <w:r>
        <w:rPr>
          <w:rFonts w:ascii="黑体" w:hAnsi="黑体" w:eastAsia="黑体"/>
          <w:sz w:val="32"/>
        </w:rPr>
        <w:t>十、其他重要事项的情况说明</w:t>
      </w:r>
    </w:p>
    <w:p w14:paraId="5B521093">
      <w:pPr>
        <w:spacing w:line="640" w:lineRule="exact"/>
        <w:ind w:firstLine="640"/>
        <w:jc w:val="both"/>
        <w:outlineLvl w:val="3"/>
      </w:pPr>
      <w:r>
        <w:rPr>
          <w:rFonts w:ascii="楷体_GB2312" w:hAnsi="楷体_GB2312" w:eastAsia="楷体_GB2312"/>
          <w:b/>
          <w:sz w:val="32"/>
        </w:rPr>
        <w:t>（一）机关运行经费及公用经费支出情况</w:t>
      </w:r>
    </w:p>
    <w:p w14:paraId="02F4B927">
      <w:pPr>
        <w:spacing w:line="580" w:lineRule="exact"/>
        <w:ind w:firstLine="640"/>
        <w:jc w:val="both"/>
      </w:pPr>
      <w:r>
        <w:rPr>
          <w:rFonts w:ascii="仿宋_GB2312" w:hAnsi="仿宋_GB2312" w:eastAsia="仿宋_GB2312"/>
          <w:b w:val="0"/>
          <w:sz w:val="32"/>
        </w:rPr>
        <w:t>2024年度中共且末县委员会党校（行政单位和参照公务员法管理事业单位）机关运行经费支出85.28万元，比上年增加2.37万元，增长2.86%，主要原因是：本年业务量增加，办公费、培训费增加，导致机关运行经费支出增加。</w:t>
      </w:r>
    </w:p>
    <w:p w14:paraId="2E9B2CDB">
      <w:pPr>
        <w:spacing w:line="640" w:lineRule="exact"/>
        <w:ind w:firstLine="640"/>
        <w:jc w:val="both"/>
        <w:outlineLvl w:val="3"/>
      </w:pPr>
      <w:r>
        <w:rPr>
          <w:rFonts w:ascii="楷体_GB2312" w:hAnsi="楷体_GB2312" w:eastAsia="楷体_GB2312"/>
          <w:b/>
          <w:sz w:val="32"/>
        </w:rPr>
        <w:t>（二）政府采购情况</w:t>
      </w:r>
    </w:p>
    <w:p w14:paraId="4DC5ACFD">
      <w:pPr>
        <w:spacing w:line="580" w:lineRule="exact"/>
        <w:ind w:firstLine="640"/>
        <w:jc w:val="both"/>
      </w:pPr>
      <w:r>
        <w:rPr>
          <w:rFonts w:ascii="仿宋_GB2312" w:hAnsi="仿宋_GB2312" w:eastAsia="仿宋_GB2312"/>
          <w:b w:val="0"/>
          <w:sz w:val="32"/>
        </w:rPr>
        <w:t>2024年度政府采购支出总额5.97万元，其中：政府采购货物支出5.84万元、政府采购工程支出0.00万元、政府采购服务支出0.13万元。</w:t>
      </w:r>
    </w:p>
    <w:p w14:paraId="6A6DF5C5">
      <w:pPr>
        <w:spacing w:line="580" w:lineRule="exact"/>
        <w:ind w:firstLine="640"/>
        <w:jc w:val="both"/>
      </w:pPr>
      <w:r>
        <w:rPr>
          <w:rFonts w:ascii="仿宋_GB2312" w:hAnsi="仿宋_GB2312" w:eastAsia="仿宋_GB2312"/>
          <w:b w:val="0"/>
          <w:sz w:val="32"/>
        </w:rPr>
        <w:t>授予中小企业合同金额5.97万元，占政府采购支出总额的100.00%，其中：授予小微企业合同金额5.97万元，占政府采购支出总额的100.00%。</w:t>
      </w:r>
    </w:p>
    <w:p w14:paraId="0D0957D9">
      <w:pPr>
        <w:spacing w:line="640" w:lineRule="exact"/>
        <w:ind w:firstLine="640"/>
        <w:jc w:val="both"/>
        <w:outlineLvl w:val="3"/>
      </w:pPr>
      <w:r>
        <w:rPr>
          <w:rFonts w:ascii="楷体_GB2312" w:hAnsi="楷体_GB2312" w:eastAsia="楷体_GB2312"/>
          <w:b/>
          <w:sz w:val="32"/>
        </w:rPr>
        <w:t>（三）国有资产占用情况说明</w:t>
      </w:r>
    </w:p>
    <w:p w14:paraId="37A151C6">
      <w:pPr>
        <w:spacing w:line="580" w:lineRule="exact"/>
        <w:ind w:firstLine="640"/>
        <w:jc w:val="both"/>
      </w:pPr>
      <w:r>
        <w:rPr>
          <w:rFonts w:ascii="仿宋_GB2312" w:hAnsi="仿宋_GB2312" w:eastAsia="仿宋_GB2312"/>
          <w:b w:val="0"/>
          <w:sz w:val="32"/>
        </w:rPr>
        <w:t>截至2024年12月31日，房屋5,648.03平方米，价值1,661.07万元。车辆1辆，价值10.26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5E57479F">
      <w:pPr>
        <w:spacing w:line="640" w:lineRule="exact"/>
        <w:ind w:firstLine="640"/>
        <w:jc w:val="both"/>
        <w:outlineLvl w:val="2"/>
      </w:pPr>
      <w:r>
        <w:rPr>
          <w:rFonts w:ascii="黑体" w:hAnsi="黑体" w:eastAsia="黑体"/>
          <w:sz w:val="32"/>
        </w:rPr>
        <w:t>十一、预算绩效的情况说明</w:t>
      </w:r>
    </w:p>
    <w:p w14:paraId="6D77B6F2">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校无预算绩效项目。发现的问题及原因：2024年我校无预算绩效项目。下一步改进措施：2024年我校无预算绩效项目。</w:t>
      </w:r>
    </w:p>
    <w:p w14:paraId="622F7050">
      <w:r>
        <w:br w:type="page"/>
      </w:r>
    </w:p>
    <w:p w14:paraId="448CF8C1">
      <w:pPr>
        <w:spacing w:line="640" w:lineRule="exact"/>
        <w:ind w:firstLine="640"/>
        <w:jc w:val="both"/>
        <w:outlineLvl w:val="2"/>
      </w:pPr>
      <w:r>
        <w:rPr>
          <w:rFonts w:ascii="黑体" w:hAnsi="黑体" w:eastAsia="黑体"/>
          <w:sz w:val="32"/>
        </w:rPr>
        <w:t>十二、其他需说明的事项</w:t>
      </w:r>
    </w:p>
    <w:p w14:paraId="1DBDC9C9">
      <w:pPr>
        <w:spacing w:line="580" w:lineRule="exact"/>
        <w:ind w:firstLine="640"/>
        <w:jc w:val="both"/>
      </w:pPr>
      <w:r>
        <w:rPr>
          <w:rFonts w:ascii="仿宋_GB2312" w:hAnsi="仿宋_GB2312" w:eastAsia="仿宋_GB2312"/>
          <w:b w:val="0"/>
          <w:sz w:val="32"/>
        </w:rPr>
        <w:t>本年度本单位整体绩效自评表由主管部门编报并公开。</w:t>
      </w:r>
    </w:p>
    <w:p w14:paraId="6C9E21DA">
      <w:r>
        <w:br w:type="page"/>
      </w:r>
    </w:p>
    <w:p w14:paraId="6D10A430">
      <w:pPr>
        <w:spacing w:line="240" w:lineRule="auto"/>
        <w:jc w:val="center"/>
        <w:outlineLvl w:val="1"/>
      </w:pPr>
      <w:r>
        <w:rPr>
          <w:rFonts w:ascii="黑体" w:hAnsi="黑体" w:eastAsia="黑体"/>
          <w:sz w:val="32"/>
        </w:rPr>
        <w:t>第三部分 专业名词解释</w:t>
      </w:r>
    </w:p>
    <w:p w14:paraId="5C9B408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6A32AD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565E2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C3A65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F21667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09031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9462D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9FA74B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A9EAB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4C9E51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2AF4E9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083346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CD267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92FB8E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E9F593E">
      <w:r>
        <w:br w:type="page"/>
      </w:r>
    </w:p>
    <w:p w14:paraId="71A4BD0F">
      <w:pPr>
        <w:spacing w:line="240" w:lineRule="auto"/>
        <w:jc w:val="center"/>
        <w:outlineLvl w:val="1"/>
      </w:pPr>
      <w:r>
        <w:rPr>
          <w:rFonts w:ascii="黑体" w:hAnsi="黑体" w:eastAsia="黑体"/>
          <w:sz w:val="32"/>
        </w:rPr>
        <w:t>第四部分 部门决算报表（见附表）</w:t>
      </w:r>
    </w:p>
    <w:p w14:paraId="194918F3">
      <w:pPr>
        <w:spacing w:line="240" w:lineRule="auto"/>
        <w:ind w:firstLine="640"/>
        <w:jc w:val="both"/>
      </w:pPr>
      <w:r>
        <w:rPr>
          <w:rFonts w:ascii="仿宋_GB2312" w:hAnsi="仿宋_GB2312" w:eastAsia="仿宋_GB2312"/>
          <w:b w:val="0"/>
          <w:sz w:val="32"/>
        </w:rPr>
        <w:t>一、《收入支出决算总表》</w:t>
      </w:r>
    </w:p>
    <w:p w14:paraId="41B17E04">
      <w:pPr>
        <w:spacing w:line="240" w:lineRule="auto"/>
        <w:ind w:firstLine="640"/>
        <w:jc w:val="both"/>
      </w:pPr>
      <w:r>
        <w:rPr>
          <w:rFonts w:ascii="仿宋_GB2312" w:hAnsi="仿宋_GB2312" w:eastAsia="仿宋_GB2312"/>
          <w:b w:val="0"/>
          <w:sz w:val="32"/>
        </w:rPr>
        <w:t>二、《收入决算表》</w:t>
      </w:r>
    </w:p>
    <w:p w14:paraId="745727A2">
      <w:pPr>
        <w:spacing w:line="240" w:lineRule="auto"/>
        <w:ind w:firstLine="640"/>
        <w:jc w:val="both"/>
      </w:pPr>
      <w:r>
        <w:rPr>
          <w:rFonts w:ascii="仿宋_GB2312" w:hAnsi="仿宋_GB2312" w:eastAsia="仿宋_GB2312"/>
          <w:b w:val="0"/>
          <w:sz w:val="32"/>
        </w:rPr>
        <w:t>三、《支出决算表》</w:t>
      </w:r>
    </w:p>
    <w:p w14:paraId="577CC195">
      <w:pPr>
        <w:spacing w:line="240" w:lineRule="auto"/>
        <w:ind w:firstLine="640"/>
        <w:jc w:val="both"/>
      </w:pPr>
      <w:r>
        <w:rPr>
          <w:rFonts w:ascii="仿宋_GB2312" w:hAnsi="仿宋_GB2312" w:eastAsia="仿宋_GB2312"/>
          <w:b w:val="0"/>
          <w:sz w:val="32"/>
        </w:rPr>
        <w:t>四、《财政拨款收入支出决算总表》</w:t>
      </w:r>
    </w:p>
    <w:p w14:paraId="40791D6A">
      <w:pPr>
        <w:spacing w:line="240" w:lineRule="auto"/>
        <w:ind w:firstLine="640"/>
        <w:jc w:val="both"/>
      </w:pPr>
      <w:r>
        <w:rPr>
          <w:rFonts w:ascii="仿宋_GB2312" w:hAnsi="仿宋_GB2312" w:eastAsia="仿宋_GB2312"/>
          <w:b w:val="0"/>
          <w:sz w:val="32"/>
        </w:rPr>
        <w:t>五、《一般公共预算财政拨款支出决算表》</w:t>
      </w:r>
    </w:p>
    <w:p w14:paraId="5AA8CE45">
      <w:pPr>
        <w:spacing w:line="240" w:lineRule="auto"/>
        <w:ind w:firstLine="640"/>
        <w:jc w:val="both"/>
      </w:pPr>
      <w:r>
        <w:rPr>
          <w:rFonts w:ascii="仿宋_GB2312" w:hAnsi="仿宋_GB2312" w:eastAsia="仿宋_GB2312"/>
          <w:b w:val="0"/>
          <w:sz w:val="32"/>
        </w:rPr>
        <w:t>六、《一般公共预算财政拨款基本支出决算表》</w:t>
      </w:r>
    </w:p>
    <w:p w14:paraId="02800FD5">
      <w:pPr>
        <w:spacing w:line="240" w:lineRule="auto"/>
        <w:ind w:firstLine="640"/>
        <w:jc w:val="both"/>
      </w:pPr>
      <w:r>
        <w:rPr>
          <w:rFonts w:ascii="仿宋_GB2312" w:hAnsi="仿宋_GB2312" w:eastAsia="仿宋_GB2312"/>
          <w:b w:val="0"/>
          <w:sz w:val="32"/>
        </w:rPr>
        <w:t>七、《政府性基金预算财政拨款收入支出决算表》</w:t>
      </w:r>
    </w:p>
    <w:p w14:paraId="2FAB5DF4">
      <w:pPr>
        <w:spacing w:line="240" w:lineRule="auto"/>
        <w:ind w:firstLine="640"/>
        <w:jc w:val="both"/>
      </w:pPr>
      <w:r>
        <w:rPr>
          <w:rFonts w:ascii="仿宋_GB2312" w:hAnsi="仿宋_GB2312" w:eastAsia="仿宋_GB2312"/>
          <w:b w:val="0"/>
          <w:sz w:val="32"/>
        </w:rPr>
        <w:t>八、《国有资本经营预算财政拨款收入支出决算表》</w:t>
      </w:r>
    </w:p>
    <w:p w14:paraId="05107295">
      <w:pPr>
        <w:spacing w:line="240" w:lineRule="auto"/>
        <w:ind w:firstLine="640"/>
        <w:jc w:val="both"/>
      </w:pPr>
      <w:r>
        <w:rPr>
          <w:rFonts w:ascii="仿宋_GB2312" w:hAnsi="仿宋_GB2312" w:eastAsia="仿宋_GB2312"/>
          <w:b w:val="0"/>
          <w:sz w:val="32"/>
        </w:rPr>
        <w:t>九、《财政拨款“三公”经费支出决算表》</w:t>
      </w:r>
    </w:p>
    <w:p w14:paraId="286C8509">
      <w:pPr>
        <w:spacing w:line="240" w:lineRule="auto"/>
        <w:ind w:firstLine="640"/>
        <w:jc w:val="both"/>
      </w:pPr>
    </w:p>
    <w:p w14:paraId="5AB02E66">
      <w:pPr>
        <w:spacing w:line="240" w:lineRule="auto"/>
        <w:ind w:firstLine="640"/>
        <w:jc w:val="both"/>
      </w:pPr>
    </w:p>
    <w:p w14:paraId="7FCFE439">
      <w:pPr>
        <w:spacing w:line="240" w:lineRule="auto"/>
        <w:ind w:firstLine="640"/>
        <w:jc w:val="both"/>
      </w:pPr>
    </w:p>
    <w:p w14:paraId="3F8E7D01">
      <w:pPr>
        <w:spacing w:line="240" w:lineRule="auto"/>
        <w:ind w:firstLine="640"/>
        <w:jc w:val="both"/>
      </w:pPr>
    </w:p>
    <w:p w14:paraId="54DEBD0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1E0065"/>
    <w:rsid w:val="2D1136DF"/>
    <w:rsid w:val="2DAE0E44"/>
    <w:rsid w:val="2FD27414"/>
    <w:rsid w:val="313F1D52"/>
    <w:rsid w:val="318029AB"/>
    <w:rsid w:val="31C63837"/>
    <w:rsid w:val="326F0A17"/>
    <w:rsid w:val="3277581B"/>
    <w:rsid w:val="38006E2C"/>
    <w:rsid w:val="3914510A"/>
    <w:rsid w:val="395C3346"/>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4944</Words>
  <Characters>5495</Characters>
  <Lines>0</Lines>
  <Paragraphs>0</Paragraphs>
  <TotalTime>4</TotalTime>
  <ScaleCrop>false</ScaleCrop>
  <LinksUpToDate>false</LinksUpToDate>
  <CharactersWithSpaces>5505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