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且末县老干部服务中心2024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CD8BACE">
      <w:r>
        <w:br w:type="page"/>
      </w:r>
    </w:p>
    <w:p w14:paraId="10450894">
      <w:pPr>
        <w:spacing w:line="640" w:lineRule="exact"/>
        <w:jc w:val="center"/>
        <w:outlineLvl w:val="1"/>
      </w:pPr>
      <w:r>
        <w:rPr>
          <w:rFonts w:ascii="黑体" w:hAnsi="黑体" w:eastAsia="黑体"/>
          <w:sz w:val="32"/>
        </w:rPr>
        <w:t>第一部分 单位概况</w:t>
      </w:r>
    </w:p>
    <w:p w14:paraId="3195E005">
      <w:pPr>
        <w:spacing w:line="640" w:lineRule="exact"/>
        <w:ind w:firstLine="640"/>
        <w:jc w:val="both"/>
        <w:outlineLvl w:val="2"/>
      </w:pPr>
      <w:r>
        <w:rPr>
          <w:rFonts w:ascii="黑体" w:hAnsi="黑体" w:eastAsia="黑体"/>
          <w:sz w:val="32"/>
        </w:rPr>
        <w:t>一、主要职能</w:t>
      </w:r>
    </w:p>
    <w:p w14:paraId="161562ED">
      <w:pPr>
        <w:spacing w:line="580" w:lineRule="exact"/>
        <w:ind w:firstLine="640"/>
        <w:jc w:val="both"/>
      </w:pPr>
      <w:r>
        <w:rPr>
          <w:rFonts w:ascii="仿宋_GB2312" w:hAnsi="仿宋_GB2312" w:eastAsia="仿宋_GB2312"/>
          <w:sz w:val="32"/>
        </w:rPr>
        <w:t>按照《关于中共且末县委员会老干部工作局所属事业单位机构编制方案的批复》新疆巴州且末县老干部服务中心职责为:贯彻落实好党和国家关于老干部的方针、政策，了解掌握老干部情况，及时向上级反映老干部的意见、建议和要求。组织离退休干部阅读文件、政治学习、听重要报告、参加有关会议和重要活动。协助党委老干部局抓好老干部就地参观、走访慰问、住院探视等工作;组织开展适合离退休干部身心健康的文体活动。负责做好离退休干部及遗孀服务、管理工作;落实离休老干部的生活待遇，解决老干部生活医疗等方面的问题。完成上级部门安排的全体任务。</w:t>
      </w:r>
    </w:p>
    <w:p w14:paraId="2E14ACC6">
      <w:pPr>
        <w:spacing w:line="640" w:lineRule="exact"/>
        <w:ind w:firstLine="640"/>
        <w:jc w:val="both"/>
        <w:outlineLvl w:val="2"/>
      </w:pPr>
      <w:r>
        <w:rPr>
          <w:rFonts w:ascii="黑体" w:hAnsi="黑体" w:eastAsia="黑体"/>
          <w:sz w:val="32"/>
        </w:rPr>
        <w:t>二、机构设置及人员情况</w:t>
      </w:r>
    </w:p>
    <w:p w14:paraId="58F4ED6F">
      <w:pPr>
        <w:spacing w:line="580" w:lineRule="exact"/>
        <w:ind w:firstLine="640"/>
        <w:jc w:val="both"/>
      </w:pPr>
      <w:r>
        <w:rPr>
          <w:rFonts w:ascii="仿宋_GB2312" w:hAnsi="仿宋_GB2312" w:eastAsia="仿宋_GB2312"/>
          <w:sz w:val="32"/>
        </w:rPr>
        <w:t>且末县老干部服务中心2024年度，实有人数27人，其中：在职人员4人，减少1人；离休人员0人，增加0人；退休人员23人,增加1人。</w:t>
      </w:r>
    </w:p>
    <w:p w14:paraId="7EBA4E13">
      <w:pPr>
        <w:spacing w:line="580" w:lineRule="exact"/>
        <w:ind w:firstLine="640"/>
        <w:jc w:val="both"/>
      </w:pPr>
      <w:r>
        <w:rPr>
          <w:rFonts w:ascii="仿宋_GB2312" w:hAnsi="仿宋_GB2312" w:eastAsia="仿宋_GB2312"/>
          <w:sz w:val="32"/>
        </w:rPr>
        <w:t>且末县老干部服务中心无下属预算单位，下设1个科室，分别是：老干部服务中心。</w:t>
      </w:r>
    </w:p>
    <w:p w14:paraId="20D39B85">
      <w:r>
        <w:br w:type="page"/>
      </w:r>
    </w:p>
    <w:p w14:paraId="5F6C7EB0">
      <w:pPr>
        <w:spacing w:line="240" w:lineRule="auto"/>
        <w:jc w:val="center"/>
        <w:outlineLvl w:val="1"/>
      </w:pPr>
      <w:r>
        <w:rPr>
          <w:rFonts w:ascii="黑体" w:hAnsi="黑体" w:eastAsia="黑体"/>
          <w:sz w:val="32"/>
        </w:rPr>
        <w:t>第二部分 部门决算情况说明</w:t>
      </w:r>
    </w:p>
    <w:p w14:paraId="27D63647">
      <w:pPr>
        <w:spacing w:line="640" w:lineRule="exact"/>
        <w:ind w:firstLine="640"/>
        <w:jc w:val="both"/>
        <w:outlineLvl w:val="2"/>
      </w:pPr>
      <w:r>
        <w:rPr>
          <w:rFonts w:ascii="黑体" w:hAnsi="黑体" w:eastAsia="黑体"/>
          <w:sz w:val="32"/>
        </w:rPr>
        <w:t>一、收入支出决算总体情况说明</w:t>
      </w:r>
    </w:p>
    <w:p w14:paraId="34B5DD4D">
      <w:pPr>
        <w:spacing w:line="580" w:lineRule="exact"/>
        <w:ind w:firstLine="640"/>
        <w:jc w:val="both"/>
      </w:pPr>
      <w:r>
        <w:rPr>
          <w:rFonts w:ascii="仿宋_GB2312" w:hAnsi="仿宋_GB2312" w:eastAsia="仿宋_GB2312"/>
          <w:b/>
          <w:sz w:val="32"/>
        </w:rPr>
        <w:t>2024年度收入总计130.08万元，</w:t>
      </w:r>
      <w:r>
        <w:rPr>
          <w:rFonts w:ascii="仿宋_GB2312" w:hAnsi="仿宋_GB2312" w:eastAsia="仿宋_GB2312"/>
          <w:b w:val="0"/>
          <w:sz w:val="32"/>
        </w:rPr>
        <w:t>其中：本年收入合计130.08万元，使用非财政拨款结余（含专用结余）0.00万元，年初结转和结余0.00万元。</w:t>
      </w:r>
    </w:p>
    <w:p w14:paraId="3DA3C2F7">
      <w:pPr>
        <w:spacing w:line="580" w:lineRule="exact"/>
        <w:ind w:firstLine="640"/>
        <w:jc w:val="both"/>
      </w:pPr>
      <w:r>
        <w:rPr>
          <w:rFonts w:ascii="仿宋_GB2312" w:hAnsi="仿宋_GB2312" w:eastAsia="仿宋_GB2312"/>
          <w:b/>
          <w:sz w:val="32"/>
        </w:rPr>
        <w:t>2024年度支出总计130.08万元，</w:t>
      </w:r>
      <w:r>
        <w:rPr>
          <w:rFonts w:ascii="仿宋_GB2312" w:hAnsi="仿宋_GB2312" w:eastAsia="仿宋_GB2312"/>
          <w:b w:val="0"/>
          <w:sz w:val="32"/>
        </w:rPr>
        <w:t>其中：本年支出合计130.08万元，结余分配0.00万元，年末结转和结余0.00万元。</w:t>
      </w:r>
    </w:p>
    <w:p w14:paraId="6FCBF2E0">
      <w:pPr>
        <w:spacing w:line="580" w:lineRule="exact"/>
        <w:ind w:firstLine="640"/>
        <w:jc w:val="both"/>
      </w:pPr>
      <w:r>
        <w:rPr>
          <w:rFonts w:ascii="仿宋_GB2312" w:hAnsi="仿宋_GB2312" w:eastAsia="仿宋_GB2312"/>
          <w:b w:val="0"/>
          <w:sz w:val="32"/>
        </w:rPr>
        <w:t>收入支出总体与上年相比，减少464.18万元，下降78.11%，主要原因是：本年减少且末大厦工程款</w:t>
      </w:r>
      <w:r>
        <w:rPr>
          <w:rFonts w:hint="eastAsia" w:ascii="仿宋_GB2312" w:hAnsi="仿宋_GB2312" w:eastAsia="仿宋_GB2312"/>
          <w:b w:val="0"/>
          <w:sz w:val="32"/>
          <w:lang w:val="en-US" w:eastAsia="zh-CN"/>
        </w:rPr>
        <w:t>及综合楼服务费。</w:t>
      </w:r>
    </w:p>
    <w:p w14:paraId="62EC8019">
      <w:pPr>
        <w:spacing w:line="640" w:lineRule="exact"/>
        <w:ind w:firstLine="640"/>
        <w:jc w:val="both"/>
        <w:outlineLvl w:val="2"/>
      </w:pPr>
      <w:r>
        <w:rPr>
          <w:rFonts w:ascii="黑体" w:hAnsi="黑体" w:eastAsia="黑体"/>
          <w:sz w:val="32"/>
        </w:rPr>
        <w:t>二、收入决算情况说明</w:t>
      </w:r>
    </w:p>
    <w:p w14:paraId="658845FB">
      <w:pPr>
        <w:spacing w:line="580" w:lineRule="exact"/>
        <w:ind w:firstLine="640"/>
        <w:jc w:val="both"/>
      </w:pPr>
      <w:r>
        <w:rPr>
          <w:rFonts w:ascii="仿宋_GB2312" w:hAnsi="仿宋_GB2312" w:eastAsia="仿宋_GB2312"/>
          <w:b/>
          <w:sz w:val="32"/>
        </w:rPr>
        <w:t>本年收入130.08万元，</w:t>
      </w:r>
      <w:r>
        <w:rPr>
          <w:rFonts w:ascii="仿宋_GB2312" w:hAnsi="仿宋_GB2312" w:eastAsia="仿宋_GB2312"/>
          <w:b w:val="0"/>
          <w:sz w:val="32"/>
        </w:rPr>
        <w:t>其中：财政拨款收入130.08万元，占100.00%；上级补助收入0.00万元，占0.00%；事业收入0.00万元，占0.00%；经营收入0.00万元，占0.00%；附属单位上缴收入0.00万元，占0.00%；其他收入0.00万元，占0.00%。</w:t>
      </w:r>
    </w:p>
    <w:p w14:paraId="2FF06B56">
      <w:pPr>
        <w:spacing w:line="640" w:lineRule="exact"/>
        <w:ind w:firstLine="640"/>
        <w:jc w:val="both"/>
        <w:outlineLvl w:val="2"/>
      </w:pPr>
      <w:r>
        <w:rPr>
          <w:rFonts w:ascii="黑体" w:hAnsi="黑体" w:eastAsia="黑体"/>
          <w:sz w:val="32"/>
        </w:rPr>
        <w:t>三、支出决算情况说明</w:t>
      </w:r>
    </w:p>
    <w:p w14:paraId="21C63127">
      <w:pPr>
        <w:spacing w:line="580" w:lineRule="exact"/>
        <w:ind w:firstLine="640"/>
        <w:jc w:val="both"/>
      </w:pPr>
      <w:r>
        <w:rPr>
          <w:rFonts w:ascii="仿宋_GB2312" w:hAnsi="仿宋_GB2312" w:eastAsia="仿宋_GB2312"/>
          <w:b/>
          <w:sz w:val="32"/>
        </w:rPr>
        <w:t>本年支出130.08万元，</w:t>
      </w:r>
      <w:r>
        <w:rPr>
          <w:rFonts w:ascii="仿宋_GB2312" w:hAnsi="仿宋_GB2312" w:eastAsia="仿宋_GB2312"/>
          <w:b w:val="0"/>
          <w:sz w:val="32"/>
        </w:rPr>
        <w:t>其中：基本支出130.08万元，占100.00%；项目支出0.00万元，占0.00%；上缴上级支出0.00万元，占0.00%；经营支出0.00万元，占0.00%；对附属单位补助支出0.00万元，占0.00%。</w:t>
      </w:r>
    </w:p>
    <w:p w14:paraId="476B657C">
      <w:pPr>
        <w:spacing w:line="640" w:lineRule="exact"/>
        <w:ind w:firstLine="640"/>
        <w:jc w:val="both"/>
        <w:outlineLvl w:val="2"/>
      </w:pPr>
      <w:r>
        <w:rPr>
          <w:rFonts w:ascii="黑体" w:hAnsi="黑体" w:eastAsia="黑体"/>
          <w:sz w:val="32"/>
        </w:rPr>
        <w:t>四、财政拨款收入支出决算总体情况说明</w:t>
      </w:r>
    </w:p>
    <w:p w14:paraId="657B21A1">
      <w:pPr>
        <w:spacing w:line="580" w:lineRule="exact"/>
        <w:ind w:firstLine="640"/>
        <w:jc w:val="both"/>
      </w:pPr>
      <w:r>
        <w:rPr>
          <w:rFonts w:ascii="仿宋_GB2312" w:hAnsi="仿宋_GB2312" w:eastAsia="仿宋_GB2312"/>
          <w:b/>
          <w:sz w:val="32"/>
        </w:rPr>
        <w:t>2024年度财政拨款收入总计130.08万元，</w:t>
      </w:r>
      <w:r>
        <w:rPr>
          <w:rFonts w:ascii="仿宋_GB2312" w:hAnsi="仿宋_GB2312" w:eastAsia="仿宋_GB2312"/>
          <w:b w:val="0"/>
          <w:sz w:val="32"/>
        </w:rPr>
        <w:t>其中：年初财政拨款结转和结余0.00万元，本年财政拨款收入130.08万元。</w:t>
      </w:r>
      <w:r>
        <w:rPr>
          <w:rFonts w:ascii="仿宋_GB2312" w:hAnsi="仿宋_GB2312" w:eastAsia="仿宋_GB2312"/>
          <w:b/>
          <w:sz w:val="32"/>
        </w:rPr>
        <w:t>财政拨款支出总计130.08万元，</w:t>
      </w:r>
      <w:r>
        <w:rPr>
          <w:rFonts w:ascii="仿宋_GB2312" w:hAnsi="仿宋_GB2312" w:eastAsia="仿宋_GB2312"/>
          <w:b w:val="0"/>
          <w:sz w:val="32"/>
        </w:rPr>
        <w:t>其中：年末财政拨款结转和结余0.00万元，本年财政拨款支出130.08万元。</w:t>
      </w:r>
    </w:p>
    <w:p w14:paraId="0C0DF1D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减少274.18万元，下降67.82%，主要原因是：本年减少且末大厦工程款。</w:t>
      </w:r>
      <w:r>
        <w:rPr>
          <w:rFonts w:ascii="仿宋_GB2312" w:hAnsi="仿宋_GB2312" w:eastAsia="仿宋_GB2312"/>
          <w:b/>
          <w:sz w:val="32"/>
        </w:rPr>
        <w:t>与年初预算相比，</w:t>
      </w:r>
      <w:r>
        <w:rPr>
          <w:rFonts w:ascii="仿宋_GB2312" w:hAnsi="仿宋_GB2312" w:eastAsia="仿宋_GB2312"/>
          <w:b w:val="0"/>
          <w:sz w:val="32"/>
        </w:rPr>
        <w:t>年初预算数140.79万元，决算数130.08万元，预决算差异率-7.61%，主要原因是：本年在职人员减少，年中调减人员经费，导致预决算存在差异。</w:t>
      </w:r>
    </w:p>
    <w:p w14:paraId="2748D3B4">
      <w:pPr>
        <w:spacing w:line="640" w:lineRule="exact"/>
        <w:ind w:firstLine="640"/>
        <w:jc w:val="both"/>
        <w:outlineLvl w:val="2"/>
      </w:pPr>
      <w:r>
        <w:rPr>
          <w:rFonts w:ascii="黑体" w:hAnsi="黑体" w:eastAsia="黑体"/>
          <w:sz w:val="32"/>
        </w:rPr>
        <w:t>五、一般公共预算财政拨款支出决算情况说明</w:t>
      </w:r>
    </w:p>
    <w:p w14:paraId="3FEF1CD0">
      <w:pPr>
        <w:spacing w:line="640" w:lineRule="exact"/>
        <w:ind w:firstLine="640"/>
        <w:jc w:val="both"/>
        <w:outlineLvl w:val="3"/>
      </w:pPr>
      <w:r>
        <w:rPr>
          <w:rFonts w:ascii="楷体_GB2312" w:hAnsi="楷体_GB2312" w:eastAsia="楷体_GB2312"/>
          <w:b/>
          <w:sz w:val="32"/>
        </w:rPr>
        <w:t>（一）一般公共预算财政拨款支出决算总体情况</w:t>
      </w:r>
    </w:p>
    <w:p w14:paraId="10DB2798">
      <w:pPr>
        <w:spacing w:line="580" w:lineRule="exact"/>
        <w:ind w:firstLine="640"/>
        <w:jc w:val="both"/>
      </w:pPr>
      <w:r>
        <w:rPr>
          <w:rFonts w:ascii="仿宋_GB2312" w:hAnsi="仿宋_GB2312" w:eastAsia="仿宋_GB2312"/>
          <w:b/>
          <w:sz w:val="32"/>
        </w:rPr>
        <w:t>2024年度一般公共预算财政拨款支出130.08万元，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减少274.18万元，下降67.82%，主要原因是：本年减少且末大厦工程款。</w:t>
      </w:r>
      <w:r>
        <w:rPr>
          <w:rFonts w:ascii="仿宋_GB2312" w:hAnsi="仿宋_GB2312" w:eastAsia="仿宋_GB2312"/>
          <w:b/>
          <w:sz w:val="32"/>
        </w:rPr>
        <w:t>与年初预算相比</w:t>
      </w:r>
      <w:bookmarkStart w:id="0" w:name="_GoBack"/>
      <w:r>
        <w:rPr>
          <w:rFonts w:ascii="仿宋_GB2312" w:hAnsi="仿宋_GB2312" w:eastAsia="仿宋_GB2312"/>
          <w:b/>
          <w:sz w:val="32"/>
        </w:rPr>
        <w:t>,</w:t>
      </w:r>
      <w:bookmarkEnd w:id="0"/>
      <w:r>
        <w:rPr>
          <w:rFonts w:ascii="仿宋_GB2312" w:hAnsi="仿宋_GB2312" w:eastAsia="仿宋_GB2312"/>
          <w:b w:val="0"/>
          <w:sz w:val="32"/>
        </w:rPr>
        <w:t>年初预算数140.79万元，决算数130.08万元，预决算差异率-7.61%，主要原因是：本年在职人员减少，年中调减人员经费，导致预决算存在差异。</w:t>
      </w:r>
    </w:p>
    <w:p w14:paraId="42718B61">
      <w:pPr>
        <w:spacing w:line="640" w:lineRule="exact"/>
        <w:ind w:firstLine="640"/>
        <w:jc w:val="both"/>
        <w:outlineLvl w:val="3"/>
      </w:pPr>
      <w:r>
        <w:rPr>
          <w:rFonts w:ascii="楷体_GB2312" w:hAnsi="楷体_GB2312" w:eastAsia="楷体_GB2312"/>
          <w:b/>
          <w:sz w:val="32"/>
        </w:rPr>
        <w:t>（二）一般公共预算财政拨款支出决算结构情况</w:t>
      </w:r>
    </w:p>
    <w:p w14:paraId="57B016ED">
      <w:pPr>
        <w:spacing w:line="580" w:lineRule="exact"/>
        <w:ind w:firstLine="640"/>
        <w:jc w:val="both"/>
      </w:pPr>
      <w:r>
        <w:rPr>
          <w:rFonts w:ascii="仿宋_GB2312" w:hAnsi="仿宋_GB2312" w:eastAsia="仿宋_GB2312"/>
          <w:b w:val="0"/>
          <w:sz w:val="32"/>
        </w:rPr>
        <w:t>1.社会保障和就业支出(类)117.98万元,占90.70%。</w:t>
      </w:r>
    </w:p>
    <w:p w14:paraId="5D344F06">
      <w:pPr>
        <w:spacing w:line="580" w:lineRule="exact"/>
        <w:ind w:firstLine="640"/>
        <w:jc w:val="both"/>
      </w:pPr>
      <w:r>
        <w:rPr>
          <w:rFonts w:ascii="仿宋_GB2312" w:hAnsi="仿宋_GB2312" w:eastAsia="仿宋_GB2312"/>
          <w:b w:val="0"/>
          <w:sz w:val="32"/>
        </w:rPr>
        <w:t>2.卫生健康支出(类)4.98万元,占3.83%。</w:t>
      </w:r>
    </w:p>
    <w:p w14:paraId="4F7D7B2B">
      <w:pPr>
        <w:spacing w:line="580" w:lineRule="exact"/>
        <w:ind w:firstLine="640"/>
        <w:jc w:val="both"/>
      </w:pPr>
      <w:r>
        <w:rPr>
          <w:rFonts w:ascii="仿宋_GB2312" w:hAnsi="仿宋_GB2312" w:eastAsia="仿宋_GB2312"/>
          <w:b w:val="0"/>
          <w:sz w:val="32"/>
        </w:rPr>
        <w:t>3.住房保障支出(类)7.12万元,占5.47%。</w:t>
      </w:r>
    </w:p>
    <w:p w14:paraId="32CB7D0F">
      <w:pPr>
        <w:spacing w:line="640" w:lineRule="exact"/>
        <w:ind w:firstLine="640"/>
        <w:jc w:val="both"/>
        <w:outlineLvl w:val="3"/>
      </w:pPr>
      <w:r>
        <w:rPr>
          <w:rFonts w:ascii="楷体_GB2312" w:hAnsi="楷体_GB2312" w:eastAsia="楷体_GB2312"/>
          <w:b/>
          <w:sz w:val="32"/>
        </w:rPr>
        <w:t>（三）一般公共预算财政拨款支出决算具体情况</w:t>
      </w:r>
    </w:p>
    <w:p w14:paraId="56EF1C06">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1.社会保障和就业支出(类)行政事业单位养老支出(款)行政单位离退休(项):支出决算数为23.76万元，比上年决算增加0.71万元，增长3.08%,主要原因是：本年退休人员增加，导致退休费支出增加。</w:t>
      </w:r>
    </w:p>
    <w:p w14:paraId="473B2DF3">
      <w:pPr>
        <w:spacing w:line="580" w:lineRule="exact"/>
        <w:ind w:firstLine="640"/>
        <w:jc w:val="both"/>
      </w:pPr>
      <w:r>
        <w:rPr>
          <w:rFonts w:ascii="仿宋_GB2312" w:hAnsi="仿宋_GB2312" w:eastAsia="仿宋_GB2312"/>
          <w:b w:val="0"/>
          <w:sz w:val="32"/>
        </w:rPr>
        <w:t>2.社会保障和就业支出(类)行政事业单位养老支出(款)离退休人员管理机构(项):支出决算数为69.92万元，比上年决算减少291.19万元，下降80.64%,主要原因是：本年减少且末大厦</w:t>
      </w:r>
      <w:r>
        <w:rPr>
          <w:rFonts w:hint="eastAsia" w:ascii="仿宋_GB2312" w:hAnsi="仿宋_GB2312" w:eastAsia="仿宋_GB2312"/>
          <w:b w:val="0"/>
          <w:sz w:val="32"/>
          <w:lang w:val="en-US" w:eastAsia="zh-CN"/>
        </w:rPr>
        <w:t>工程款</w:t>
      </w:r>
      <w:r>
        <w:rPr>
          <w:rFonts w:ascii="仿宋_GB2312" w:hAnsi="仿宋_GB2312" w:eastAsia="仿宋_GB2312"/>
          <w:b w:val="0"/>
          <w:sz w:val="32"/>
        </w:rPr>
        <w:t>。</w:t>
      </w:r>
    </w:p>
    <w:p w14:paraId="0A37E070">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8.81万元，比上年决算增加0.40万元，增长4.76%,主要原因是：本年在职人员工资基数调增，养老缴费基数上涨，相应支出增加。</w:t>
      </w:r>
    </w:p>
    <w:p w14:paraId="62685F0E">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15.49万元，比上年决算增加15.49万元，增长100.00%,主要原因是：本年新增退休人员，导致职业年金缴费支出增加。</w:t>
      </w:r>
    </w:p>
    <w:p w14:paraId="0F7A7CBD">
      <w:pPr>
        <w:spacing w:line="580" w:lineRule="exact"/>
        <w:ind w:firstLine="640"/>
        <w:jc w:val="both"/>
      </w:pPr>
      <w:r>
        <w:rPr>
          <w:rFonts w:ascii="仿宋_GB2312" w:hAnsi="仿宋_GB2312" w:eastAsia="仿宋_GB2312"/>
          <w:b w:val="0"/>
          <w:sz w:val="32"/>
        </w:rPr>
        <w:t>5.卫生健康支出(类)行政事业单位医疗(款)行政单位医疗(项):支出决算数为4.00万元，比上年决算减少0.09万元，下降2.20%,主要原因是：本年在职人员减少，导致行政单位医疗较上年减少。</w:t>
      </w:r>
    </w:p>
    <w:p w14:paraId="324D1016">
      <w:pPr>
        <w:spacing w:line="580" w:lineRule="exact"/>
        <w:ind w:firstLine="640"/>
        <w:jc w:val="both"/>
      </w:pPr>
      <w:r>
        <w:rPr>
          <w:rFonts w:ascii="仿宋_GB2312" w:hAnsi="仿宋_GB2312" w:eastAsia="仿宋_GB2312"/>
          <w:b w:val="0"/>
          <w:sz w:val="32"/>
        </w:rPr>
        <w:t>6.卫生健康支出(类)行政事业单位医疗(款)事业单位医疗(项):支出决算数为0.00万元，比上年决算减少0.09万元，下降100.00%,主要原因是：科目调整，本年无事业人员，未安排事业医疗保险经费。</w:t>
      </w:r>
    </w:p>
    <w:p w14:paraId="494E6EAB">
      <w:pPr>
        <w:spacing w:line="580" w:lineRule="exact"/>
        <w:ind w:firstLine="640"/>
        <w:jc w:val="both"/>
      </w:pPr>
      <w:r>
        <w:rPr>
          <w:rFonts w:ascii="仿宋_GB2312" w:hAnsi="仿宋_GB2312" w:eastAsia="仿宋_GB2312"/>
          <w:b w:val="0"/>
          <w:sz w:val="32"/>
        </w:rPr>
        <w:t>7.卫生健康支出(类)行政事业单位医疗(款)公务员医疗补助(项):支出决算数为0.98万元，比上年决算增加0.04万元，增长4.26%,主要原因是：本年在职人员工资基数调增，公务员医疗补助上涨，相应支出增加。</w:t>
      </w:r>
    </w:p>
    <w:p w14:paraId="39A9E7CE">
      <w:pPr>
        <w:spacing w:line="580" w:lineRule="exact"/>
        <w:ind w:firstLine="640"/>
        <w:jc w:val="both"/>
      </w:pPr>
      <w:r>
        <w:rPr>
          <w:rFonts w:ascii="仿宋_GB2312" w:hAnsi="仿宋_GB2312" w:eastAsia="仿宋_GB2312"/>
          <w:b w:val="0"/>
          <w:sz w:val="32"/>
        </w:rPr>
        <w:t>8.住房保障支出(类)住房改革支出(款)住房公积金(项):支出决算数为7.12万元，比上年决算增加0.57万元，增长8.70%,主要原因是：本年在职人员工资基数调增，公积金缴费基数上涨，相应支出增加。</w:t>
      </w:r>
    </w:p>
    <w:p w14:paraId="7194581E">
      <w:pPr>
        <w:spacing w:line="640" w:lineRule="exact"/>
        <w:ind w:firstLine="640"/>
        <w:jc w:val="both"/>
        <w:outlineLvl w:val="2"/>
      </w:pPr>
      <w:r>
        <w:rPr>
          <w:rFonts w:ascii="黑体" w:hAnsi="黑体" w:eastAsia="黑体"/>
          <w:sz w:val="32"/>
        </w:rPr>
        <w:t>六、一般公共预算财政拨款基本支出决算情况说明</w:t>
      </w:r>
    </w:p>
    <w:p w14:paraId="3AE9ED9A">
      <w:pPr>
        <w:spacing w:line="580" w:lineRule="exact"/>
        <w:ind w:firstLine="640"/>
        <w:jc w:val="both"/>
      </w:pPr>
      <w:r>
        <w:rPr>
          <w:rFonts w:ascii="仿宋_GB2312" w:hAnsi="仿宋_GB2312" w:eastAsia="仿宋_GB2312"/>
          <w:b w:val="0"/>
          <w:sz w:val="32"/>
        </w:rPr>
        <w:t>2024年度一般公共预算财政拨款基本支出130.08万元，其中：</w:t>
      </w:r>
      <w:r>
        <w:rPr>
          <w:rFonts w:ascii="仿宋_GB2312" w:hAnsi="仿宋_GB2312" w:eastAsia="仿宋_GB2312"/>
          <w:b/>
          <w:sz w:val="32"/>
        </w:rPr>
        <w:t>人员经费121.79万元，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包括：基本工资、津贴补贴、奖金、机关事业单位基本养老保险缴费、职业年金缴费、职工基本医疗保险缴费、公务员医疗补助缴费、其他社会保障缴费、住房公积金、退休费、生活补助、奖励金。</w:t>
      </w:r>
    </w:p>
    <w:p w14:paraId="7FD62B78">
      <w:pPr>
        <w:spacing w:line="580" w:lineRule="exact"/>
        <w:ind w:firstLine="640"/>
        <w:jc w:val="both"/>
      </w:pPr>
      <w:r>
        <w:rPr>
          <w:rFonts w:ascii="仿宋_GB2312" w:hAnsi="仿宋_GB2312" w:eastAsia="仿宋_GB2312"/>
          <w:b/>
          <w:sz w:val="32"/>
        </w:rPr>
        <w:t>公用经费8.28万元，</w:t>
      </w:r>
      <w:r>
        <w:rPr>
          <w:rFonts w:ascii="仿宋_GB2312" w:hAnsi="仿宋_GB2312" w:eastAsia="仿宋_GB2312"/>
          <w:b w:val="0"/>
          <w:sz w:val="32"/>
        </w:rPr>
        <w:t>包括：办公费、邮电费、取暖费、差旅费、维修（护）费、租赁费、其他交通费用。</w:t>
      </w:r>
    </w:p>
    <w:p w14:paraId="22E8C37E">
      <w:pPr>
        <w:spacing w:line="640" w:lineRule="exact"/>
        <w:ind w:firstLine="640"/>
        <w:jc w:val="both"/>
        <w:outlineLvl w:val="2"/>
      </w:pPr>
      <w:r>
        <w:rPr>
          <w:rFonts w:ascii="黑体" w:hAnsi="黑体" w:eastAsia="黑体"/>
          <w:sz w:val="32"/>
        </w:rPr>
        <w:t>七、政府性基金预算财政拨款收入支出决算情况说明</w:t>
      </w:r>
    </w:p>
    <w:p w14:paraId="2436287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AE9AAB1">
      <w:pPr>
        <w:spacing w:line="640" w:lineRule="exact"/>
        <w:ind w:firstLine="640"/>
        <w:jc w:val="both"/>
        <w:outlineLvl w:val="2"/>
      </w:pPr>
      <w:r>
        <w:rPr>
          <w:rFonts w:ascii="黑体" w:hAnsi="黑体" w:eastAsia="黑体"/>
          <w:sz w:val="32"/>
        </w:rPr>
        <w:t>八、国有资本经营预算财政拨款收入支出决算情况说明</w:t>
      </w:r>
    </w:p>
    <w:p w14:paraId="02D4E55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372AFC2">
      <w:pPr>
        <w:spacing w:line="640" w:lineRule="exact"/>
        <w:ind w:firstLine="640"/>
        <w:jc w:val="both"/>
        <w:outlineLvl w:val="2"/>
      </w:pPr>
      <w:r>
        <w:rPr>
          <w:rFonts w:ascii="黑体" w:hAnsi="黑体" w:eastAsia="黑体"/>
          <w:sz w:val="32"/>
        </w:rPr>
        <w:t>九、财政拨款“三公”经费支出决算情况说明</w:t>
      </w:r>
    </w:p>
    <w:p w14:paraId="542C65FF">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17181AB8">
      <w:pPr>
        <w:spacing w:line="580" w:lineRule="exact"/>
        <w:ind w:firstLine="640"/>
        <w:jc w:val="both"/>
      </w:pPr>
      <w:r>
        <w:rPr>
          <w:rFonts w:ascii="仿宋_GB2312" w:hAnsi="仿宋_GB2312" w:eastAsia="仿宋_GB2312"/>
          <w:b/>
          <w:sz w:val="32"/>
        </w:rPr>
        <w:t>具体情况如下：</w:t>
      </w:r>
    </w:p>
    <w:p w14:paraId="0DE4EAC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AB864E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差异车辆为一般业务用车，预算未安排公务用车运行维护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车辆经费在其他交通费中列支</w:t>
      </w:r>
      <w:r>
        <w:rPr>
          <w:rFonts w:ascii="仿宋_GB2312" w:hAnsi="仿宋_GB2312" w:eastAsia="仿宋_GB2312"/>
          <w:b w:val="0"/>
          <w:sz w:val="32"/>
        </w:rPr>
        <w:t>。</w:t>
      </w:r>
    </w:p>
    <w:p w14:paraId="4A3ACDF6">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CD55B9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9B99438">
      <w:pPr>
        <w:spacing w:line="640" w:lineRule="exact"/>
        <w:ind w:firstLine="640"/>
        <w:jc w:val="both"/>
        <w:outlineLvl w:val="2"/>
      </w:pPr>
      <w:r>
        <w:rPr>
          <w:rFonts w:ascii="黑体" w:hAnsi="黑体" w:eastAsia="黑体"/>
          <w:sz w:val="32"/>
        </w:rPr>
        <w:t>十、其他重要事项的情况说明</w:t>
      </w:r>
    </w:p>
    <w:p w14:paraId="219AA868">
      <w:pPr>
        <w:spacing w:line="640" w:lineRule="exact"/>
        <w:ind w:firstLine="640"/>
        <w:jc w:val="both"/>
        <w:outlineLvl w:val="3"/>
      </w:pPr>
      <w:r>
        <w:rPr>
          <w:rFonts w:ascii="楷体_GB2312" w:hAnsi="楷体_GB2312" w:eastAsia="楷体_GB2312"/>
          <w:b/>
          <w:sz w:val="32"/>
        </w:rPr>
        <w:t>（一）机关运行经费及公用经费支出情况</w:t>
      </w:r>
    </w:p>
    <w:p w14:paraId="2C485A61">
      <w:pPr>
        <w:spacing w:line="580" w:lineRule="exact"/>
        <w:ind w:firstLine="640"/>
        <w:jc w:val="both"/>
      </w:pPr>
      <w:r>
        <w:rPr>
          <w:rFonts w:ascii="仿宋_GB2312" w:hAnsi="仿宋_GB2312" w:eastAsia="仿宋_GB2312"/>
          <w:b w:val="0"/>
          <w:sz w:val="32"/>
        </w:rPr>
        <w:t>2024年度且末县老干部服务中心（行政单位和参照公务员法管理事业单位）机关运行经费支出8.28万元，比上年减少239.61万元，下降96.66%，主要原因是：本年减少且末大厦</w:t>
      </w:r>
      <w:r>
        <w:rPr>
          <w:rFonts w:hint="eastAsia" w:ascii="仿宋_GB2312" w:hAnsi="仿宋_GB2312" w:eastAsia="仿宋_GB2312"/>
          <w:b w:val="0"/>
          <w:sz w:val="32"/>
          <w:lang w:val="en-US" w:eastAsia="zh-CN"/>
        </w:rPr>
        <w:t>工程委托业务费</w:t>
      </w:r>
      <w:r>
        <w:rPr>
          <w:rFonts w:ascii="仿宋_GB2312" w:hAnsi="仿宋_GB2312" w:eastAsia="仿宋_GB2312"/>
          <w:b w:val="0"/>
          <w:sz w:val="32"/>
        </w:rPr>
        <w:t>。</w:t>
      </w:r>
    </w:p>
    <w:p w14:paraId="28C0AD6A">
      <w:pPr>
        <w:spacing w:line="640" w:lineRule="exact"/>
        <w:ind w:firstLine="640"/>
        <w:jc w:val="both"/>
        <w:outlineLvl w:val="3"/>
      </w:pPr>
      <w:r>
        <w:rPr>
          <w:rFonts w:ascii="楷体_GB2312" w:hAnsi="楷体_GB2312" w:eastAsia="楷体_GB2312"/>
          <w:b/>
          <w:sz w:val="32"/>
        </w:rPr>
        <w:t>（二）政府采购情况</w:t>
      </w:r>
    </w:p>
    <w:p w14:paraId="547EBEED">
      <w:pPr>
        <w:spacing w:line="580" w:lineRule="exact"/>
        <w:ind w:firstLine="640"/>
        <w:jc w:val="both"/>
      </w:pPr>
      <w:r>
        <w:rPr>
          <w:rFonts w:ascii="仿宋_GB2312" w:hAnsi="仿宋_GB2312" w:eastAsia="仿宋_GB2312"/>
          <w:b w:val="0"/>
          <w:sz w:val="32"/>
        </w:rPr>
        <w:t>2024年度政府采购支出总额5.16万元，其中：政府采购货物支出0.46万元、政府采购工程支出0.06万元、政府采购服务支出4.64万元。</w:t>
      </w:r>
    </w:p>
    <w:p w14:paraId="4AE3086F">
      <w:pPr>
        <w:spacing w:line="580" w:lineRule="exact"/>
        <w:ind w:firstLine="640"/>
        <w:jc w:val="both"/>
      </w:pPr>
      <w:r>
        <w:rPr>
          <w:rFonts w:ascii="仿宋_GB2312" w:hAnsi="仿宋_GB2312" w:eastAsia="仿宋_GB2312"/>
          <w:b w:val="0"/>
          <w:sz w:val="32"/>
        </w:rPr>
        <w:t>授予中小企业合同金额5.16万元，占政府采购支出总额的100.00%，其中：授予小微企业合同金额5.13万元，占政府采购支出总额的99.42%。</w:t>
      </w:r>
    </w:p>
    <w:p w14:paraId="0E1CD7FA">
      <w:pPr>
        <w:spacing w:line="640" w:lineRule="exact"/>
        <w:ind w:firstLine="640"/>
        <w:jc w:val="both"/>
        <w:outlineLvl w:val="3"/>
      </w:pPr>
      <w:r>
        <w:rPr>
          <w:rFonts w:ascii="楷体_GB2312" w:hAnsi="楷体_GB2312" w:eastAsia="楷体_GB2312"/>
          <w:b/>
          <w:sz w:val="32"/>
        </w:rPr>
        <w:t>（三）国有资产占用情况说明</w:t>
      </w:r>
    </w:p>
    <w:p w14:paraId="18AC94F2">
      <w:pPr>
        <w:spacing w:line="580" w:lineRule="exact"/>
        <w:ind w:firstLine="640"/>
        <w:jc w:val="both"/>
      </w:pPr>
      <w:r>
        <w:rPr>
          <w:rFonts w:ascii="仿宋_GB2312" w:hAnsi="仿宋_GB2312" w:eastAsia="仿宋_GB2312"/>
          <w:b w:val="0"/>
          <w:sz w:val="32"/>
        </w:rPr>
        <w:t>截至2024年12月31日，房屋0.00平方米，价值0.00万元。车辆1辆，价值5.96万元，其中：副部（省）级及以上领导用车0辆、主要负责人用车0辆、机要通信用车0辆、应急保障用车0辆、执法执勤用车0辆、特种专业技术用车0辆、离退休干部服务用车1辆、其他用车0辆，其他用车主要是：本单位无其他用车。单价100万元（含）以上设备（不含车辆）0台（套）。</w:t>
      </w:r>
    </w:p>
    <w:p w14:paraId="4938DAC0">
      <w:pPr>
        <w:spacing w:line="640" w:lineRule="exact"/>
        <w:ind w:firstLine="640"/>
        <w:jc w:val="both"/>
        <w:outlineLvl w:val="2"/>
      </w:pPr>
      <w:r>
        <w:rPr>
          <w:rFonts w:ascii="黑体" w:hAnsi="黑体" w:eastAsia="黑体"/>
          <w:sz w:val="32"/>
        </w:rPr>
        <w:t>十一、预算绩效的情况说明</w:t>
      </w:r>
    </w:p>
    <w:p w14:paraId="27794F27">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我单位无预算项目绩效。发现的问题及原因：2024年我单位无预算项目绩效。下一步改进措施：2024年我单位无预算项目绩效。</w:t>
      </w:r>
    </w:p>
    <w:p w14:paraId="0371289E">
      <w:r>
        <w:br w:type="page"/>
      </w:r>
    </w:p>
    <w:p w14:paraId="5F8B38EA">
      <w:pPr>
        <w:spacing w:line="640" w:lineRule="exact"/>
        <w:ind w:firstLine="640"/>
        <w:jc w:val="both"/>
        <w:outlineLvl w:val="2"/>
      </w:pPr>
      <w:r>
        <w:rPr>
          <w:rFonts w:ascii="黑体" w:hAnsi="黑体" w:eastAsia="黑体"/>
          <w:sz w:val="32"/>
        </w:rPr>
        <w:t>十二、其他需说明的事项</w:t>
      </w:r>
    </w:p>
    <w:p w14:paraId="5EB3B1A0">
      <w:pPr>
        <w:ind w:firstLine="640" w:firstLineChars="200"/>
        <w:rPr>
          <w:rFonts w:hint="eastAsia" w:ascii="仿宋_GB2312" w:hAnsi="仿宋_GB2312" w:eastAsia="仿宋_GB2312"/>
          <w:b w:val="0"/>
          <w:sz w:val="32"/>
        </w:rPr>
      </w:pPr>
      <w:r>
        <w:rPr>
          <w:rFonts w:hint="eastAsia" w:ascii="仿宋_GB2312" w:hAnsi="仿宋_GB2312" w:eastAsia="仿宋_GB2312"/>
          <w:b w:val="0"/>
          <w:sz w:val="32"/>
        </w:rPr>
        <w:t>本年度本单位整体绩效自评表由主管部门编报并公开。</w:t>
      </w:r>
    </w:p>
    <w:p w14:paraId="736A311D">
      <w:pPr>
        <w:ind w:firstLine="640" w:firstLineChars="200"/>
      </w:pPr>
      <w:r>
        <w:br w:type="page"/>
      </w:r>
    </w:p>
    <w:p w14:paraId="659AB99E">
      <w:pPr>
        <w:spacing w:line="240" w:lineRule="auto"/>
        <w:jc w:val="center"/>
        <w:outlineLvl w:val="1"/>
      </w:pPr>
      <w:r>
        <w:rPr>
          <w:rFonts w:ascii="黑体" w:hAnsi="黑体" w:eastAsia="黑体"/>
          <w:sz w:val="32"/>
        </w:rPr>
        <w:t>第三部分 专业名词解释</w:t>
      </w:r>
    </w:p>
    <w:p w14:paraId="5C0B95F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A2DF3D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2076E0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1807E3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F2C9B5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7690A4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590881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4679F4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AFDD18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F34AB5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87F894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16B7B4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3062C1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F693C1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1EAE9AF">
      <w:r>
        <w:br w:type="page"/>
      </w:r>
    </w:p>
    <w:p w14:paraId="51252AF7">
      <w:pPr>
        <w:spacing w:line="240" w:lineRule="auto"/>
        <w:jc w:val="center"/>
        <w:outlineLvl w:val="1"/>
      </w:pPr>
      <w:r>
        <w:rPr>
          <w:rFonts w:ascii="黑体" w:hAnsi="黑体" w:eastAsia="黑体"/>
          <w:sz w:val="32"/>
        </w:rPr>
        <w:t>第四部分 部门决算报表（见附表）</w:t>
      </w:r>
    </w:p>
    <w:p w14:paraId="7535B7E5">
      <w:pPr>
        <w:spacing w:line="240" w:lineRule="auto"/>
        <w:ind w:firstLine="640"/>
        <w:jc w:val="both"/>
      </w:pPr>
      <w:r>
        <w:rPr>
          <w:rFonts w:ascii="仿宋_GB2312" w:hAnsi="仿宋_GB2312" w:eastAsia="仿宋_GB2312"/>
          <w:b w:val="0"/>
          <w:sz w:val="32"/>
        </w:rPr>
        <w:t>一、《收入支出决算总表》</w:t>
      </w:r>
    </w:p>
    <w:p w14:paraId="607B86E7">
      <w:pPr>
        <w:spacing w:line="240" w:lineRule="auto"/>
        <w:ind w:firstLine="640"/>
        <w:jc w:val="both"/>
      </w:pPr>
      <w:r>
        <w:rPr>
          <w:rFonts w:ascii="仿宋_GB2312" w:hAnsi="仿宋_GB2312" w:eastAsia="仿宋_GB2312"/>
          <w:b w:val="0"/>
          <w:sz w:val="32"/>
        </w:rPr>
        <w:t>二、《收入决算表》</w:t>
      </w:r>
    </w:p>
    <w:p w14:paraId="4DF9D0B4">
      <w:pPr>
        <w:spacing w:line="240" w:lineRule="auto"/>
        <w:ind w:firstLine="640"/>
        <w:jc w:val="both"/>
      </w:pPr>
      <w:r>
        <w:rPr>
          <w:rFonts w:ascii="仿宋_GB2312" w:hAnsi="仿宋_GB2312" w:eastAsia="仿宋_GB2312"/>
          <w:b w:val="0"/>
          <w:sz w:val="32"/>
        </w:rPr>
        <w:t>三、《支出决算表》</w:t>
      </w:r>
    </w:p>
    <w:p w14:paraId="03945E5B">
      <w:pPr>
        <w:spacing w:line="240" w:lineRule="auto"/>
        <w:ind w:firstLine="640"/>
        <w:jc w:val="both"/>
      </w:pPr>
      <w:r>
        <w:rPr>
          <w:rFonts w:ascii="仿宋_GB2312" w:hAnsi="仿宋_GB2312" w:eastAsia="仿宋_GB2312"/>
          <w:b w:val="0"/>
          <w:sz w:val="32"/>
        </w:rPr>
        <w:t>四、《财政拨款收入支出决算总表》</w:t>
      </w:r>
    </w:p>
    <w:p w14:paraId="0BCD888B">
      <w:pPr>
        <w:spacing w:line="240" w:lineRule="auto"/>
        <w:ind w:firstLine="640"/>
        <w:jc w:val="both"/>
      </w:pPr>
      <w:r>
        <w:rPr>
          <w:rFonts w:ascii="仿宋_GB2312" w:hAnsi="仿宋_GB2312" w:eastAsia="仿宋_GB2312"/>
          <w:b w:val="0"/>
          <w:sz w:val="32"/>
        </w:rPr>
        <w:t>五、《一般公共预算财政拨款支出决算表》</w:t>
      </w:r>
    </w:p>
    <w:p w14:paraId="17E27255">
      <w:pPr>
        <w:spacing w:line="240" w:lineRule="auto"/>
        <w:ind w:firstLine="640"/>
        <w:jc w:val="both"/>
      </w:pPr>
      <w:r>
        <w:rPr>
          <w:rFonts w:ascii="仿宋_GB2312" w:hAnsi="仿宋_GB2312" w:eastAsia="仿宋_GB2312"/>
          <w:b w:val="0"/>
          <w:sz w:val="32"/>
        </w:rPr>
        <w:t>六、《一般公共预算财政拨款基本支出决算表》</w:t>
      </w:r>
    </w:p>
    <w:p w14:paraId="2E428FB5">
      <w:pPr>
        <w:spacing w:line="240" w:lineRule="auto"/>
        <w:ind w:firstLine="640"/>
        <w:jc w:val="both"/>
      </w:pPr>
      <w:r>
        <w:rPr>
          <w:rFonts w:ascii="仿宋_GB2312" w:hAnsi="仿宋_GB2312" w:eastAsia="仿宋_GB2312"/>
          <w:b w:val="0"/>
          <w:sz w:val="32"/>
        </w:rPr>
        <w:t>七、《政府性基金预算财政拨款收入支出决算表》</w:t>
      </w:r>
    </w:p>
    <w:p w14:paraId="65D2E1F3">
      <w:pPr>
        <w:spacing w:line="240" w:lineRule="auto"/>
        <w:ind w:firstLine="640"/>
        <w:jc w:val="both"/>
      </w:pPr>
      <w:r>
        <w:rPr>
          <w:rFonts w:ascii="仿宋_GB2312" w:hAnsi="仿宋_GB2312" w:eastAsia="仿宋_GB2312"/>
          <w:b w:val="0"/>
          <w:sz w:val="32"/>
        </w:rPr>
        <w:t>八、《国有资本经营预算财政拨款收入支出决算表》</w:t>
      </w:r>
    </w:p>
    <w:p w14:paraId="6B431BDB">
      <w:pPr>
        <w:spacing w:line="240" w:lineRule="auto"/>
        <w:ind w:firstLine="640"/>
        <w:jc w:val="both"/>
      </w:pPr>
      <w:r>
        <w:rPr>
          <w:rFonts w:ascii="仿宋_GB2312" w:hAnsi="仿宋_GB2312" w:eastAsia="仿宋_GB2312"/>
          <w:b w:val="0"/>
          <w:sz w:val="32"/>
        </w:rPr>
        <w:t>九、《财政拨款“三公”经费支出决算表》</w:t>
      </w:r>
    </w:p>
    <w:p w14:paraId="4AF09824">
      <w:pPr>
        <w:spacing w:line="240" w:lineRule="auto"/>
        <w:ind w:firstLine="640"/>
        <w:jc w:val="both"/>
      </w:pPr>
    </w:p>
    <w:p w14:paraId="3D49CE18">
      <w:pPr>
        <w:spacing w:line="240" w:lineRule="auto"/>
        <w:ind w:firstLine="640"/>
        <w:jc w:val="both"/>
      </w:pPr>
    </w:p>
    <w:p w14:paraId="3C03C5D2">
      <w:pPr>
        <w:spacing w:line="240" w:lineRule="auto"/>
        <w:ind w:firstLine="640"/>
        <w:jc w:val="both"/>
      </w:pPr>
    </w:p>
    <w:p w14:paraId="7BDD69D7">
      <w:pPr>
        <w:spacing w:line="240" w:lineRule="auto"/>
        <w:ind w:firstLine="640"/>
        <w:jc w:val="both"/>
      </w:pPr>
    </w:p>
    <w:p w14:paraId="11C4E14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02D566-C4CA-41CE-9748-CB978ED85B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EA77D261-393C-471C-9565-B9596FE63E8C}"/>
  </w:font>
  <w:font w:name="仿宋_GB2312">
    <w:panose1 w:val="02010609030101010101"/>
    <w:charset w:val="86"/>
    <w:family w:val="modern"/>
    <w:pitch w:val="default"/>
    <w:sig w:usb0="00000001" w:usb1="080E0000" w:usb2="00000000" w:usb3="00000000" w:csb0="00040000" w:csb1="00000000"/>
    <w:embedRegular r:id="rId3" w:fontKey="{49D3771D-BD2E-4902-943C-C6D928316AF8}"/>
  </w:font>
  <w:font w:name="楷体_GB2312">
    <w:panose1 w:val="02010609030101010101"/>
    <w:charset w:val="86"/>
    <w:family w:val="auto"/>
    <w:pitch w:val="default"/>
    <w:sig w:usb0="00000001" w:usb1="080E0000" w:usb2="00000000" w:usb3="00000000" w:csb0="00040000" w:csb1="00000000"/>
    <w:embedRegular r:id="rId4" w:fontKey="{28875E6A-365A-4FEA-9D91-FF00FC839F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EA60B1B"/>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3AA5C28"/>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5133</Words>
  <Characters>5761</Characters>
  <Lines>0</Lines>
  <Paragraphs>0</Paragraphs>
  <TotalTime>8</TotalTime>
  <ScaleCrop>false</ScaleCrop>
  <LinksUpToDate>false</LinksUpToDate>
  <CharactersWithSpaces>5771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2025-09-26T08:24:36Z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