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0384C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中共且末县纪律检查委员会本级</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B2398A9">
      <w:r>
        <w:br w:type="page"/>
      </w:r>
    </w:p>
    <w:p w14:paraId="47FA2483">
      <w:pPr>
        <w:spacing w:line="640" w:lineRule="exact"/>
        <w:jc w:val="center"/>
        <w:outlineLvl w:val="1"/>
      </w:pPr>
      <w:r>
        <w:rPr>
          <w:rFonts w:ascii="黑体" w:hAnsi="黑体" w:eastAsia="黑体"/>
          <w:sz w:val="32"/>
        </w:rPr>
        <w:t>第一部分 部门概况</w:t>
      </w:r>
    </w:p>
    <w:p w14:paraId="299BA894">
      <w:pPr>
        <w:spacing w:line="640" w:lineRule="exact"/>
        <w:ind w:firstLine="640"/>
        <w:jc w:val="both"/>
        <w:outlineLvl w:val="2"/>
      </w:pPr>
      <w:r>
        <w:rPr>
          <w:rFonts w:ascii="黑体" w:hAnsi="黑体" w:eastAsia="黑体"/>
          <w:sz w:val="32"/>
        </w:rPr>
        <w:t>一、主要职能</w:t>
      </w:r>
    </w:p>
    <w:p w14:paraId="0B9D6FC8">
      <w:pPr>
        <w:spacing w:line="580" w:lineRule="exact"/>
        <w:ind w:firstLine="640"/>
        <w:jc w:val="both"/>
      </w:pPr>
      <w:r>
        <w:rPr>
          <w:rFonts w:ascii="仿宋_GB2312" w:hAnsi="仿宋_GB2312" w:eastAsia="仿宋_GB2312"/>
          <w:sz w:val="32"/>
        </w:rPr>
        <w:t>（1）负责党的纪律检查工作。贯彻落实自治州党委、自治州纪委和且末县党委关于纪律检查工作的决定，维护党的章程和其他党内法规，检查党的路线方针政策和决议的执行情况，协助县党委推进全面从严治党、加强党风建设和组织协调反腐败工作。</w:t>
      </w:r>
    </w:p>
    <w:p w14:paraId="0A781829">
      <w:pPr>
        <w:spacing w:line="580" w:lineRule="exact"/>
        <w:ind w:firstLine="640"/>
        <w:jc w:val="both"/>
      </w:pPr>
      <w:r>
        <w:rPr>
          <w:rFonts w:ascii="仿宋_GB2312" w:hAnsi="仿宋_GB2312" w:eastAsia="仿宋_GB2312"/>
          <w:sz w:val="32"/>
        </w:rPr>
        <w:t>（2）依照党的章程和其他党内法规履行监督、执纪、问责职责。负责经常对党员遵守纪律的教育，作出关于维护党纪的决定；对县党委工作部门、县党委批准设立的党组（党委），各乡（镇）党委、纪委等党的组织和县党委管理的党员领导干部履行职责、行使权力进行监督，受理处置党员群众检举举报，开展谈话提醒、约谈函询；检查和处理上述党的组织和党员</w:t>
      </w:r>
      <w:r>
        <w:rPr>
          <w:rFonts w:hint="eastAsia" w:ascii="仿宋_GB2312" w:hAnsi="仿宋_GB2312" w:eastAsia="仿宋_GB2312"/>
          <w:sz w:val="32"/>
          <w:lang w:eastAsia="zh-CN"/>
        </w:rPr>
        <w:t>违反</w:t>
      </w:r>
      <w:r>
        <w:rPr>
          <w:rFonts w:ascii="仿宋_GB2312" w:hAnsi="仿宋_GB2312" w:eastAsia="仿宋_GB2312"/>
          <w:sz w:val="32"/>
        </w:rPr>
        <w:t>党的章程和其他党内法规的比较重要或者复杂的案件，决定或者取消对这些案件中的党员的处分；进行问责或者提出责任追究的建议；受理党员的控告和</w:t>
      </w:r>
      <w:r>
        <w:rPr>
          <w:rFonts w:hint="eastAsia" w:ascii="仿宋_GB2312" w:hAnsi="仿宋_GB2312" w:eastAsia="仿宋_GB2312"/>
          <w:sz w:val="32"/>
          <w:lang w:eastAsia="zh-CN"/>
        </w:rPr>
        <w:t>申诉</w:t>
      </w:r>
      <w:r>
        <w:rPr>
          <w:rFonts w:ascii="仿宋_GB2312" w:hAnsi="仿宋_GB2312" w:eastAsia="仿宋_GB2312"/>
          <w:sz w:val="32"/>
        </w:rPr>
        <w:t>；</w:t>
      </w:r>
      <w:r>
        <w:rPr>
          <w:rFonts w:hint="eastAsia" w:ascii="仿宋_GB2312" w:hAnsi="仿宋_GB2312" w:eastAsia="仿宋_GB2312"/>
          <w:sz w:val="32"/>
          <w:lang w:eastAsia="zh-CN"/>
        </w:rPr>
        <w:t>保障党员权利</w:t>
      </w:r>
      <w:r>
        <w:rPr>
          <w:rFonts w:ascii="仿宋_GB2312" w:hAnsi="仿宋_GB2312" w:eastAsia="仿宋_GB2312"/>
          <w:sz w:val="32"/>
        </w:rPr>
        <w:t>。</w:t>
      </w:r>
    </w:p>
    <w:p w14:paraId="35EA0859">
      <w:pPr>
        <w:spacing w:line="580" w:lineRule="exact"/>
        <w:ind w:firstLine="640"/>
        <w:jc w:val="both"/>
      </w:pPr>
      <w:r>
        <w:rPr>
          <w:rFonts w:ascii="仿宋_GB2312" w:hAnsi="仿宋_GB2312" w:eastAsia="仿宋_GB2312"/>
          <w:sz w:val="32"/>
        </w:rPr>
        <w:t>（3）在县党委领导下组织开展巡察工作。配合县党委巡察工作领导小组做好巡察工作，督促县党委有关部门、县人民政府有关部门以及乡（镇）落实巡视巡察反馈问题的整改工作。</w:t>
      </w:r>
    </w:p>
    <w:p w14:paraId="0EB880C9">
      <w:pPr>
        <w:spacing w:line="580" w:lineRule="exact"/>
        <w:ind w:firstLine="640"/>
        <w:jc w:val="both"/>
      </w:pPr>
      <w:r>
        <w:rPr>
          <w:rFonts w:ascii="仿宋_GB2312" w:hAnsi="仿宋_GB2312" w:eastAsia="仿宋_GB2312"/>
          <w:sz w:val="32"/>
        </w:rPr>
        <w:t>（4）负责全县监察工作。贯彻落实自治州监委和县党委关于监察工作的决定，维护宪法法律，依法对县党委管理的行使公权力的公职人员进行监察，调查职务违法和职务犯罪，开展廉政建设和反腐败工作。</w:t>
      </w:r>
    </w:p>
    <w:p w14:paraId="56933C0B">
      <w:pPr>
        <w:spacing w:line="580" w:lineRule="exact"/>
        <w:ind w:firstLine="640"/>
        <w:jc w:val="both"/>
      </w:pPr>
      <w:r>
        <w:rPr>
          <w:rFonts w:ascii="仿宋_GB2312" w:hAnsi="仿宋_GB2312" w:eastAsia="仿宋_GB2312"/>
          <w:sz w:val="32"/>
        </w:rPr>
        <w:t>（5）依照法律规定履行监督、调查、处置职责。对县党委管理的行使公权力的公职人员落实中央治疆方略、聚焦维护社会稳定和长治久安总目标，维护祖国统一，反对民族分裂情况进行监督检查；推进开展廉政教育，对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16D15EE3">
      <w:pPr>
        <w:spacing w:line="580" w:lineRule="exact"/>
        <w:ind w:firstLine="640"/>
        <w:jc w:val="both"/>
      </w:pPr>
      <w:r>
        <w:rPr>
          <w:rFonts w:ascii="仿宋_GB2312" w:hAnsi="仿宋_GB2312" w:eastAsia="仿宋_GB2312"/>
          <w:sz w:val="32"/>
        </w:rPr>
        <w:t>（6）负责组织协调且末县全面从严治党、党风廉政建设和反腐败宣传教育工作。</w:t>
      </w:r>
    </w:p>
    <w:p w14:paraId="0C6107D2">
      <w:pPr>
        <w:spacing w:line="580" w:lineRule="exact"/>
        <w:ind w:firstLine="640"/>
        <w:jc w:val="both"/>
      </w:pPr>
      <w:r>
        <w:rPr>
          <w:rFonts w:ascii="仿宋_GB2312" w:hAnsi="仿宋_GB2312" w:eastAsia="仿宋_GB2312"/>
          <w:sz w:val="32"/>
        </w:rPr>
        <w:t>（7）负责综合分析且末县全面从严治党、党风廉政建设和反腐败工作情况，对纪检监察工作重要理论及实践问题进行调查研究；提出全县纪检监察制度建设规划、设计和建议，根据上级纪检监察机关要求，负责全县纪检监察规范性文件的起草和修改。</w:t>
      </w:r>
    </w:p>
    <w:p w14:paraId="66CB4C80">
      <w:pPr>
        <w:spacing w:line="580" w:lineRule="exact"/>
        <w:ind w:firstLine="640"/>
        <w:jc w:val="both"/>
      </w:pPr>
      <w:r>
        <w:rPr>
          <w:rFonts w:ascii="仿宋_GB2312" w:hAnsi="仿宋_GB2312" w:eastAsia="仿宋_GB2312"/>
          <w:sz w:val="32"/>
        </w:rPr>
        <w:t>（8）负责配合自治区、自治州纪委监委做好反腐败国际追逃追赃和防逃工作，督促有关单位做好相关工作。</w:t>
      </w:r>
    </w:p>
    <w:p w14:paraId="7A4748DF">
      <w:pPr>
        <w:spacing w:line="580" w:lineRule="exact"/>
        <w:ind w:firstLine="640"/>
        <w:jc w:val="both"/>
      </w:pPr>
      <w:r>
        <w:rPr>
          <w:rFonts w:ascii="仿宋_GB2312" w:hAnsi="仿宋_GB2312" w:eastAsia="仿宋_GB2312"/>
          <w:sz w:val="32"/>
        </w:rPr>
        <w:t>（9）根据干部管理权限，负责且末县纪检监察系统领导班子建设、干部队伍建设和组织建设的综合规划、调查研究、制度建设和业务指导；会同有关方面做好且末县纪委监委派驻（派出）机构、各乡（镇）纪委、派出监察办公室领导班子建设有关工作；组织和指导纪检监察系统干部教育培训工作等。</w:t>
      </w:r>
    </w:p>
    <w:p w14:paraId="7827BEA6">
      <w:pPr>
        <w:spacing w:line="580" w:lineRule="exact"/>
        <w:ind w:firstLine="640"/>
        <w:jc w:val="both"/>
      </w:pPr>
      <w:r>
        <w:rPr>
          <w:rFonts w:ascii="仿宋_GB2312" w:hAnsi="仿宋_GB2312" w:eastAsia="仿宋_GB2312"/>
          <w:sz w:val="32"/>
        </w:rPr>
        <w:t>（10）承担本部门党的建设、党风廉政和反腐败、精神文明、维护稳定、“</w:t>
      </w:r>
      <w:r>
        <w:rPr>
          <w:rFonts w:hint="eastAsia" w:ascii="仿宋_GB2312" w:hAnsi="仿宋_GB2312" w:eastAsia="仿宋_GB2312"/>
          <w:sz w:val="32"/>
          <w:lang w:eastAsia="zh-CN"/>
        </w:rPr>
        <w:t>为民办实事</w:t>
      </w:r>
      <w:r>
        <w:rPr>
          <w:rFonts w:ascii="仿宋_GB2312" w:hAnsi="仿宋_GB2312" w:eastAsia="仿宋_GB2312"/>
          <w:sz w:val="32"/>
        </w:rPr>
        <w:t>”、综合治理、民族团结、“两个全覆盖”、安全生产、扶贫等工作。</w:t>
      </w:r>
    </w:p>
    <w:p w14:paraId="6BBF17BD">
      <w:pPr>
        <w:spacing w:line="580" w:lineRule="exact"/>
        <w:ind w:firstLine="640"/>
        <w:jc w:val="both"/>
      </w:pPr>
      <w:r>
        <w:rPr>
          <w:rFonts w:ascii="仿宋_GB2312" w:hAnsi="仿宋_GB2312" w:eastAsia="仿宋_GB2312"/>
          <w:sz w:val="32"/>
        </w:rPr>
        <w:t>（11）完成自治州纪委监委和县党委交办的其他任务。</w:t>
      </w:r>
    </w:p>
    <w:p w14:paraId="73145D8F">
      <w:pPr>
        <w:spacing w:line="640" w:lineRule="exact"/>
        <w:ind w:firstLine="640"/>
        <w:jc w:val="both"/>
        <w:outlineLvl w:val="2"/>
      </w:pPr>
      <w:r>
        <w:rPr>
          <w:rFonts w:ascii="黑体" w:hAnsi="黑体" w:eastAsia="黑体"/>
          <w:sz w:val="32"/>
        </w:rPr>
        <w:t>二、机构设置及人员情况</w:t>
      </w:r>
    </w:p>
    <w:p w14:paraId="2184C906">
      <w:pPr>
        <w:spacing w:line="580" w:lineRule="exact"/>
        <w:ind w:firstLine="640"/>
        <w:jc w:val="both"/>
      </w:pPr>
      <w:r>
        <w:rPr>
          <w:rFonts w:ascii="仿宋_GB2312" w:hAnsi="仿宋_GB2312" w:eastAsia="仿宋_GB2312"/>
          <w:sz w:val="32"/>
        </w:rPr>
        <w:t>中共且末县纪律检查委员会本级2024年度，实有人数97人，其中：在职人员92人，增加7人；离休人员0人，增加0人；退休人员5人,增加2人。</w:t>
      </w:r>
    </w:p>
    <w:p w14:paraId="23F50617">
      <w:pPr>
        <w:spacing w:line="580" w:lineRule="exact"/>
        <w:ind w:firstLine="640"/>
        <w:jc w:val="both"/>
      </w:pPr>
      <w:r>
        <w:rPr>
          <w:rFonts w:ascii="仿宋_GB2312" w:hAnsi="仿宋_GB2312" w:eastAsia="仿宋_GB2312"/>
          <w:sz w:val="32"/>
        </w:rPr>
        <w:t>中共且末县纪律检查委员会本级无下属预算单位，下设15个科室，分别是：办公室、第一纪检监察室、第二纪检监察室、组宣部、党风政风监督室、案件监督管理室、案件审理室、信访室、第一纪检监察组、第二</w:t>
      </w:r>
      <w:r>
        <w:rPr>
          <w:rFonts w:hint="eastAsia" w:ascii="仿宋_GB2312" w:hAnsi="仿宋_GB2312" w:eastAsia="仿宋_GB2312"/>
          <w:sz w:val="32"/>
          <w:lang w:eastAsia="zh-CN"/>
        </w:rPr>
        <w:t>纪检监察</w:t>
      </w:r>
      <w:r>
        <w:rPr>
          <w:rFonts w:ascii="仿宋_GB2312" w:hAnsi="仿宋_GB2312" w:eastAsia="仿宋_GB2312"/>
          <w:sz w:val="32"/>
        </w:rPr>
        <w:t>组、第三纪检监察组、第四纪检监察组、第五纪检监察组、第六纪检监察组、且末县党委直属纪检监察工委。</w:t>
      </w:r>
    </w:p>
    <w:p w14:paraId="15812DAA">
      <w:r>
        <w:br w:type="page"/>
      </w:r>
    </w:p>
    <w:p w14:paraId="5A5DCC05">
      <w:pPr>
        <w:spacing w:line="240" w:lineRule="auto"/>
        <w:jc w:val="center"/>
        <w:outlineLvl w:val="1"/>
      </w:pPr>
      <w:r>
        <w:rPr>
          <w:rFonts w:ascii="黑体" w:hAnsi="黑体" w:eastAsia="黑体"/>
          <w:sz w:val="32"/>
        </w:rPr>
        <w:t>第二部分 部门决算情况说明</w:t>
      </w:r>
    </w:p>
    <w:p w14:paraId="7F486CDA">
      <w:pPr>
        <w:spacing w:line="640" w:lineRule="exact"/>
        <w:ind w:firstLine="640"/>
        <w:jc w:val="both"/>
        <w:outlineLvl w:val="2"/>
      </w:pPr>
      <w:r>
        <w:rPr>
          <w:rFonts w:ascii="黑体" w:hAnsi="黑体" w:eastAsia="黑体"/>
          <w:sz w:val="32"/>
        </w:rPr>
        <w:t>一、收入支出决算总体情况说明</w:t>
      </w:r>
    </w:p>
    <w:p w14:paraId="1AFEFB88">
      <w:pPr>
        <w:spacing w:line="580" w:lineRule="exact"/>
        <w:ind w:firstLine="640"/>
        <w:jc w:val="both"/>
      </w:pPr>
      <w:r>
        <w:rPr>
          <w:rFonts w:ascii="仿宋_GB2312" w:hAnsi="仿宋_GB2312" w:eastAsia="仿宋_GB2312"/>
          <w:b/>
          <w:sz w:val="32"/>
        </w:rPr>
        <w:t>2024年度收入总计1,703.97万元，</w:t>
      </w:r>
      <w:r>
        <w:rPr>
          <w:rFonts w:ascii="仿宋_GB2312" w:hAnsi="仿宋_GB2312" w:eastAsia="仿宋_GB2312"/>
          <w:b w:val="0"/>
          <w:sz w:val="32"/>
        </w:rPr>
        <w:t>其中：本年收入合计1,703.97万元，使用非财政拨款结余（含专用结余）0.00万元，年初结转和结余0.00万元。</w:t>
      </w:r>
    </w:p>
    <w:p w14:paraId="6FD7D9FA">
      <w:pPr>
        <w:spacing w:line="580" w:lineRule="exact"/>
        <w:ind w:firstLine="640"/>
        <w:jc w:val="both"/>
      </w:pPr>
      <w:r>
        <w:rPr>
          <w:rFonts w:ascii="仿宋_GB2312" w:hAnsi="仿宋_GB2312" w:eastAsia="仿宋_GB2312"/>
          <w:b/>
          <w:sz w:val="32"/>
        </w:rPr>
        <w:t>2024年度支出总计1,703.97万元，</w:t>
      </w:r>
      <w:r>
        <w:rPr>
          <w:rFonts w:ascii="仿宋_GB2312" w:hAnsi="仿宋_GB2312" w:eastAsia="仿宋_GB2312"/>
          <w:b w:val="0"/>
          <w:sz w:val="32"/>
        </w:rPr>
        <w:t>其中：本年支出合计1,703.97万元，结余分配0.00万元，年末结转和结余0.00万元。</w:t>
      </w:r>
    </w:p>
    <w:p w14:paraId="4BFEB9CD">
      <w:pPr>
        <w:spacing w:line="580" w:lineRule="exact"/>
        <w:ind w:firstLine="640"/>
        <w:jc w:val="both"/>
      </w:pPr>
      <w:r>
        <w:rPr>
          <w:rFonts w:ascii="仿宋_GB2312" w:hAnsi="仿宋_GB2312" w:eastAsia="仿宋_GB2312"/>
          <w:b w:val="0"/>
          <w:sz w:val="32"/>
        </w:rPr>
        <w:t>收入支出总体与上年相比，减少16.16万元，下降0.94%，主要原因是：一是上年度补发以前年度13月工资及优秀奖励金，本年无此情况支出；二是本年减少援疆资金用于纪检干部补贴支出。</w:t>
      </w:r>
    </w:p>
    <w:p w14:paraId="3F9004A0">
      <w:pPr>
        <w:spacing w:line="640" w:lineRule="exact"/>
        <w:ind w:firstLine="640"/>
        <w:jc w:val="both"/>
        <w:outlineLvl w:val="2"/>
      </w:pPr>
      <w:r>
        <w:rPr>
          <w:rFonts w:ascii="黑体" w:hAnsi="黑体" w:eastAsia="黑体"/>
          <w:sz w:val="32"/>
        </w:rPr>
        <w:t>二、收入决算情况说明</w:t>
      </w:r>
    </w:p>
    <w:p w14:paraId="00542367">
      <w:pPr>
        <w:spacing w:line="580" w:lineRule="exact"/>
        <w:ind w:firstLine="640"/>
        <w:jc w:val="both"/>
      </w:pPr>
      <w:r>
        <w:rPr>
          <w:rFonts w:ascii="仿宋_GB2312" w:hAnsi="仿宋_GB2312" w:eastAsia="仿宋_GB2312"/>
          <w:b/>
          <w:sz w:val="32"/>
        </w:rPr>
        <w:t>本年收入1,703.97万元，</w:t>
      </w:r>
      <w:r>
        <w:rPr>
          <w:rFonts w:ascii="仿宋_GB2312" w:hAnsi="仿宋_GB2312" w:eastAsia="仿宋_GB2312"/>
          <w:b w:val="0"/>
          <w:sz w:val="32"/>
        </w:rPr>
        <w:t>其中：财政拨款收入1,703.97万元，占100.00%；上级补助收入0.00万元，占0.00%；事业收入0.00万元，占0.00%；经营收入0.00万元，占0.00%；附属单位上缴收入0.00万元，占0.00%；其他收入0.00万元，占0.00%。</w:t>
      </w:r>
    </w:p>
    <w:p w14:paraId="5A658589">
      <w:pPr>
        <w:spacing w:line="640" w:lineRule="exact"/>
        <w:ind w:firstLine="640"/>
        <w:jc w:val="both"/>
        <w:outlineLvl w:val="2"/>
      </w:pPr>
      <w:r>
        <w:rPr>
          <w:rFonts w:ascii="黑体" w:hAnsi="黑体" w:eastAsia="黑体"/>
          <w:sz w:val="32"/>
        </w:rPr>
        <w:t>三、支出决算情况说明</w:t>
      </w:r>
    </w:p>
    <w:p w14:paraId="4B8E5FE9">
      <w:pPr>
        <w:spacing w:line="580" w:lineRule="exact"/>
        <w:ind w:firstLine="640"/>
        <w:jc w:val="both"/>
      </w:pPr>
      <w:r>
        <w:rPr>
          <w:rFonts w:ascii="仿宋_GB2312" w:hAnsi="仿宋_GB2312" w:eastAsia="仿宋_GB2312"/>
          <w:b/>
          <w:sz w:val="32"/>
        </w:rPr>
        <w:t>本年支出1,703.97万元，</w:t>
      </w:r>
      <w:r>
        <w:rPr>
          <w:rFonts w:ascii="仿宋_GB2312" w:hAnsi="仿宋_GB2312" w:eastAsia="仿宋_GB2312"/>
          <w:b w:val="0"/>
          <w:sz w:val="32"/>
        </w:rPr>
        <w:t>其中：基本支出1,676.33万元，占98.38%；项目支出27.64万元，占1.62%；上缴上级支出0.00万元，占0.00%；经营支出0.00万元，占0.00%；对附属单位补助支出0.00万元，占0.00%。</w:t>
      </w:r>
    </w:p>
    <w:p w14:paraId="20BF1C50">
      <w:pPr>
        <w:spacing w:line="640" w:lineRule="exact"/>
        <w:ind w:firstLine="640"/>
        <w:jc w:val="both"/>
        <w:outlineLvl w:val="2"/>
      </w:pPr>
      <w:r>
        <w:rPr>
          <w:rFonts w:ascii="黑体" w:hAnsi="黑体" w:eastAsia="黑体"/>
          <w:sz w:val="32"/>
        </w:rPr>
        <w:t>四、财政拨款收入支出决算总体情况说明</w:t>
      </w:r>
    </w:p>
    <w:p w14:paraId="319083E1">
      <w:pPr>
        <w:spacing w:line="580" w:lineRule="exact"/>
        <w:ind w:firstLine="640"/>
        <w:jc w:val="both"/>
      </w:pPr>
      <w:r>
        <w:rPr>
          <w:rFonts w:ascii="仿宋_GB2312" w:hAnsi="仿宋_GB2312" w:eastAsia="仿宋_GB2312"/>
          <w:b/>
          <w:sz w:val="32"/>
        </w:rPr>
        <w:t>2024年度财政拨款收入总计1,703.97万元，</w:t>
      </w:r>
      <w:r>
        <w:rPr>
          <w:rFonts w:ascii="仿宋_GB2312" w:hAnsi="仿宋_GB2312" w:eastAsia="仿宋_GB2312"/>
          <w:b w:val="0"/>
          <w:sz w:val="32"/>
        </w:rPr>
        <w:t>其中：年初财政拨款结转和结余0.00万元，本年财政拨款收入1,703.97万元。</w:t>
      </w:r>
      <w:r>
        <w:rPr>
          <w:rFonts w:ascii="仿宋_GB2312" w:hAnsi="仿宋_GB2312" w:eastAsia="仿宋_GB2312"/>
          <w:b/>
          <w:sz w:val="32"/>
        </w:rPr>
        <w:t>财政拨款支出总计1,703.97万元，</w:t>
      </w:r>
      <w:r>
        <w:rPr>
          <w:rFonts w:ascii="仿宋_GB2312" w:hAnsi="仿宋_GB2312" w:eastAsia="仿宋_GB2312"/>
          <w:b w:val="0"/>
          <w:sz w:val="32"/>
        </w:rPr>
        <w:t>其中：年末财政拨款结转和结余0.00万元，本年财政拨款支出1,703.97万元。</w:t>
      </w:r>
    </w:p>
    <w:p w14:paraId="3792EF3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减少9.98万元，下降0.58%，主要原因是：上年度补发以前年度13月工资及优秀奖励金，本年无此情况支出。</w:t>
      </w:r>
      <w:r>
        <w:rPr>
          <w:rFonts w:ascii="仿宋_GB2312" w:hAnsi="仿宋_GB2312" w:eastAsia="仿宋_GB2312"/>
          <w:b/>
          <w:sz w:val="32"/>
        </w:rPr>
        <w:t>与年初预算相比，</w:t>
      </w:r>
      <w:r>
        <w:rPr>
          <w:rFonts w:ascii="仿宋_GB2312" w:hAnsi="仿宋_GB2312" w:eastAsia="仿宋_GB2312"/>
          <w:b w:val="0"/>
          <w:sz w:val="32"/>
        </w:rPr>
        <w:t>年初预算数1,836.83万元，决算数1,703.97万元，预决算差异率-7.23%，主要原因是：严格落实中央八项规定精神，厉行节约，减少不必要的开支。</w:t>
      </w:r>
    </w:p>
    <w:p w14:paraId="74A09820">
      <w:pPr>
        <w:spacing w:line="640" w:lineRule="exact"/>
        <w:ind w:firstLine="640"/>
        <w:jc w:val="both"/>
        <w:outlineLvl w:val="2"/>
      </w:pPr>
      <w:r>
        <w:rPr>
          <w:rFonts w:ascii="黑体" w:hAnsi="黑体" w:eastAsia="黑体"/>
          <w:sz w:val="32"/>
        </w:rPr>
        <w:t>五、一般公共预算财政拨款支出决算情况说明</w:t>
      </w:r>
    </w:p>
    <w:p w14:paraId="72932763">
      <w:pPr>
        <w:spacing w:line="640" w:lineRule="exact"/>
        <w:ind w:firstLine="640"/>
        <w:jc w:val="both"/>
        <w:outlineLvl w:val="3"/>
      </w:pPr>
      <w:r>
        <w:rPr>
          <w:rFonts w:ascii="楷体_GB2312" w:hAnsi="楷体_GB2312" w:eastAsia="楷体_GB2312"/>
          <w:b/>
          <w:sz w:val="32"/>
        </w:rPr>
        <w:t>（一）一般公共预算财政拨款支出决算总体情况</w:t>
      </w:r>
    </w:p>
    <w:p w14:paraId="086994D5">
      <w:pPr>
        <w:spacing w:line="580" w:lineRule="exact"/>
        <w:ind w:firstLine="640"/>
        <w:jc w:val="both"/>
      </w:pPr>
      <w:r>
        <w:rPr>
          <w:rFonts w:ascii="仿宋_GB2312" w:hAnsi="仿宋_GB2312" w:eastAsia="仿宋_GB2312"/>
          <w:b/>
          <w:sz w:val="32"/>
        </w:rPr>
        <w:t>2024年度一般公共预算财政拨款支出1,703.97万元，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减少9.98万元，下降0.58%，主要原因是：上年度补发以前年度13月工资及优秀奖励金，本年无此情况支出。</w:t>
      </w:r>
      <w:r>
        <w:rPr>
          <w:rFonts w:ascii="仿宋_GB2312" w:hAnsi="仿宋_GB2312" w:eastAsia="仿宋_GB2312"/>
          <w:b/>
          <w:sz w:val="32"/>
        </w:rPr>
        <w:t>与年初预算相比,</w:t>
      </w:r>
      <w:r>
        <w:rPr>
          <w:rFonts w:ascii="仿宋_GB2312" w:hAnsi="仿宋_GB2312" w:eastAsia="仿宋_GB2312"/>
          <w:b w:val="0"/>
          <w:sz w:val="32"/>
        </w:rPr>
        <w:t>年初预算数1,836.83万元，决算数1,703.97万元，预决算差异率-7.23%，主要原因是：严格落实中央八项规定精神，厉行节约，减少不必要的开支。</w:t>
      </w:r>
    </w:p>
    <w:p w14:paraId="754106CA">
      <w:pPr>
        <w:spacing w:line="640" w:lineRule="exact"/>
        <w:ind w:firstLine="640"/>
        <w:jc w:val="both"/>
        <w:outlineLvl w:val="3"/>
      </w:pPr>
      <w:r>
        <w:rPr>
          <w:rFonts w:ascii="楷体_GB2312" w:hAnsi="楷体_GB2312" w:eastAsia="楷体_GB2312"/>
          <w:b/>
          <w:sz w:val="32"/>
        </w:rPr>
        <w:t>（二）一般公共预算财政拨款支出决算结构情况</w:t>
      </w:r>
    </w:p>
    <w:p w14:paraId="50A196D7">
      <w:pPr>
        <w:spacing w:line="580" w:lineRule="exact"/>
        <w:ind w:firstLine="640"/>
        <w:jc w:val="both"/>
      </w:pPr>
      <w:r>
        <w:rPr>
          <w:rFonts w:ascii="仿宋_GB2312" w:hAnsi="仿宋_GB2312" w:eastAsia="仿宋_GB2312"/>
          <w:b w:val="0"/>
          <w:sz w:val="32"/>
        </w:rPr>
        <w:t>1.一般公共服务支出(类)1,259.74万元,占73.93%。</w:t>
      </w:r>
    </w:p>
    <w:p w14:paraId="2ACF7E3E">
      <w:pPr>
        <w:spacing w:line="580" w:lineRule="exact"/>
        <w:ind w:firstLine="640"/>
        <w:jc w:val="both"/>
      </w:pPr>
      <w:r>
        <w:rPr>
          <w:rFonts w:ascii="仿宋_GB2312" w:hAnsi="仿宋_GB2312" w:eastAsia="仿宋_GB2312"/>
          <w:b w:val="0"/>
          <w:sz w:val="32"/>
        </w:rPr>
        <w:t>2.社会保障和就业支出(类)206.63万元,占12.13%。</w:t>
      </w:r>
    </w:p>
    <w:p w14:paraId="4B9426B3">
      <w:pPr>
        <w:spacing w:line="580" w:lineRule="exact"/>
        <w:ind w:firstLine="640"/>
        <w:jc w:val="both"/>
      </w:pPr>
      <w:r>
        <w:rPr>
          <w:rFonts w:ascii="仿宋_GB2312" w:hAnsi="仿宋_GB2312" w:eastAsia="仿宋_GB2312"/>
          <w:b w:val="0"/>
          <w:sz w:val="32"/>
        </w:rPr>
        <w:t>3.卫生健康支出(类)102.33万元,占6.01%。</w:t>
      </w:r>
    </w:p>
    <w:p w14:paraId="2692C3FB">
      <w:pPr>
        <w:spacing w:line="580" w:lineRule="exact"/>
        <w:ind w:firstLine="640"/>
        <w:jc w:val="both"/>
      </w:pPr>
      <w:r>
        <w:rPr>
          <w:rFonts w:ascii="仿宋_GB2312" w:hAnsi="仿宋_GB2312" w:eastAsia="仿宋_GB2312"/>
          <w:b w:val="0"/>
          <w:sz w:val="32"/>
        </w:rPr>
        <w:t>4.住房保障支出(类)127.85万元,占7.50%。</w:t>
      </w:r>
    </w:p>
    <w:p w14:paraId="5566AF94">
      <w:pPr>
        <w:spacing w:line="580" w:lineRule="exact"/>
        <w:ind w:firstLine="640"/>
        <w:jc w:val="both"/>
      </w:pPr>
      <w:r>
        <w:rPr>
          <w:rFonts w:ascii="仿宋_GB2312" w:hAnsi="仿宋_GB2312" w:eastAsia="仿宋_GB2312"/>
          <w:b w:val="0"/>
          <w:sz w:val="32"/>
        </w:rPr>
        <w:t>5.其他支出(类)7.41万元,占0.43%。</w:t>
      </w:r>
    </w:p>
    <w:p w14:paraId="1BFC1FE2">
      <w:pPr>
        <w:spacing w:line="640" w:lineRule="exact"/>
        <w:ind w:firstLine="640"/>
        <w:jc w:val="both"/>
        <w:outlineLvl w:val="3"/>
      </w:pPr>
      <w:r>
        <w:rPr>
          <w:rFonts w:ascii="楷体_GB2312" w:hAnsi="楷体_GB2312" w:eastAsia="楷体_GB2312"/>
          <w:b/>
          <w:sz w:val="32"/>
        </w:rPr>
        <w:t>（三）一般公共预算财政拨款支出决算具体情况</w:t>
      </w:r>
    </w:p>
    <w:p w14:paraId="150C02C4">
      <w:pPr>
        <w:spacing w:line="580" w:lineRule="exact"/>
        <w:ind w:firstLine="640"/>
        <w:jc w:val="both"/>
      </w:pPr>
      <w:r>
        <w:rPr>
          <w:rFonts w:ascii="仿宋_GB2312" w:hAnsi="仿宋_GB2312" w:eastAsia="仿宋_GB2312"/>
          <w:b w:val="0"/>
          <w:sz w:val="32"/>
        </w:rPr>
        <w:t>1.一般公共服务支出(类)纪检监察事务(款)行政运行(项):支出决算数为1,230.31万元，比上年决算减少126.68万元，下降9.34%,主要原因是：上年度补发以前年度13月工资及优秀奖励金，本年度不存在相关补发，相关人员经费减少。</w:t>
      </w:r>
    </w:p>
    <w:p w14:paraId="663D83A7">
      <w:pPr>
        <w:spacing w:line="580" w:lineRule="exact"/>
        <w:ind w:firstLine="640"/>
        <w:jc w:val="both"/>
      </w:pPr>
      <w:r>
        <w:rPr>
          <w:rFonts w:ascii="仿宋_GB2312" w:hAnsi="仿宋_GB2312" w:eastAsia="仿宋_GB2312"/>
          <w:b w:val="0"/>
          <w:sz w:val="32"/>
        </w:rPr>
        <w:t>2.一般公共服务支出(类)纪检监察事务(款)巡视工作(项):支出决算数为9.20万元，比上年决算增加0.07万元，增长0.77%,主要原因是：本年出差人员频次增加，差旅费支出较上年增加。</w:t>
      </w:r>
    </w:p>
    <w:p w14:paraId="3DD98926">
      <w:pPr>
        <w:spacing w:line="580" w:lineRule="exact"/>
        <w:ind w:firstLine="640"/>
        <w:jc w:val="both"/>
      </w:pPr>
      <w:r>
        <w:rPr>
          <w:rFonts w:ascii="仿宋_GB2312" w:hAnsi="仿宋_GB2312" w:eastAsia="仿宋_GB2312"/>
          <w:b w:val="0"/>
          <w:sz w:val="32"/>
        </w:rPr>
        <w:t>3.一般公共服务支出(类)纪检监察事务(款)其他纪检监察事务支出(项):支出决算数为20.23万元，比上年决算增加15.23万元，增长304.60%,主要原因是：本年增加购买办公固定资产，办理房产证契税和维修资金，软件运维费用。</w:t>
      </w:r>
    </w:p>
    <w:p w14:paraId="5A68DBE6">
      <w:pPr>
        <w:spacing w:line="580" w:lineRule="exact"/>
        <w:ind w:firstLine="640"/>
        <w:jc w:val="both"/>
      </w:pPr>
      <w:r>
        <w:rPr>
          <w:rFonts w:ascii="仿宋_GB2312" w:hAnsi="仿宋_GB2312" w:eastAsia="仿宋_GB2312"/>
          <w:b w:val="0"/>
          <w:sz w:val="32"/>
        </w:rPr>
        <w:t>4.教育支出(类)进修及培训(款)培训支出(项):支出决算数为0.00万元，比上年决算减少1.14万元，下降100.00%,主要原因是：本年减少培训费支出。</w:t>
      </w:r>
    </w:p>
    <w:p w14:paraId="7BEAEDB0">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2.33万元，比上年决算增加1.05万元，增长82.03%,主要原因是：一是本年增加退休人员基础绩效奖，退休费支出增加；二是本年退休人员增加，退休费支出增加。</w:t>
      </w:r>
    </w:p>
    <w:p w14:paraId="6222285B">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160.49万元，比上年决算增加22.98万元，增长16.71%,主要原因是：本年在职人员增加，人员工资基数调增，养老缴费基数上涨，相应支出增加。</w:t>
      </w:r>
    </w:p>
    <w:p w14:paraId="2ACEA975">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43.81万元，比上年决算增加36.54万元，增长502.61%,主要原因是：本年新增退休人员及辞职调出人员，职业年金缴费支出增加。</w:t>
      </w:r>
    </w:p>
    <w:p w14:paraId="67941EFF">
      <w:pPr>
        <w:spacing w:line="580" w:lineRule="exact"/>
        <w:ind w:firstLine="640"/>
        <w:jc w:val="both"/>
      </w:pPr>
      <w:r>
        <w:rPr>
          <w:rFonts w:ascii="仿宋_GB2312" w:hAnsi="仿宋_GB2312" w:eastAsia="仿宋_GB2312"/>
          <w:b w:val="0"/>
          <w:sz w:val="32"/>
        </w:rPr>
        <w:t>8.卫生健康支出(类)行政事业单位医疗(款)行政单位医疗(项):支出决算数为72.68万元，比上年决算增加10.38万元，增长16.66%,主要原因是：本年在职人员增加，人员工资基数调增，医疗缴费基数上涨，相应支出增加。</w:t>
      </w:r>
    </w:p>
    <w:p w14:paraId="0AF02681">
      <w:pPr>
        <w:spacing w:line="580" w:lineRule="exact"/>
        <w:ind w:firstLine="640"/>
        <w:jc w:val="both"/>
      </w:pPr>
      <w:r>
        <w:rPr>
          <w:rFonts w:ascii="仿宋_GB2312" w:hAnsi="仿宋_GB2312" w:eastAsia="仿宋_GB2312"/>
          <w:b w:val="0"/>
          <w:sz w:val="32"/>
        </w:rPr>
        <w:t>9.卫生健康支出(类)行政事业单位医疗(款)公务员医疗补助(项):支出决算数为29.65万元，比上年决算增加4.28万元，增长16.87%,主要原因是：本年在职人员增加，人员工资基数调增，医疗缴费基数上涨，相应支出增加。</w:t>
      </w:r>
    </w:p>
    <w:p w14:paraId="689730FF">
      <w:pPr>
        <w:spacing w:line="580" w:lineRule="exact"/>
        <w:ind w:firstLine="640"/>
        <w:jc w:val="both"/>
      </w:pPr>
      <w:r>
        <w:rPr>
          <w:rFonts w:ascii="仿宋_GB2312" w:hAnsi="仿宋_GB2312" w:eastAsia="仿宋_GB2312"/>
          <w:b w:val="0"/>
          <w:sz w:val="32"/>
        </w:rPr>
        <w:t>10.住房保障支出(类)住房改革支出(款)住房公积金(项):支出决算数为127.85万元，比上年决算增加21.85万元，增长20.61%,主要原因是：本年在职人员增加，人员工资基数调增，公积金缴费基数上涨，相应支出增加。</w:t>
      </w:r>
    </w:p>
    <w:p w14:paraId="1E9752C2">
      <w:pPr>
        <w:spacing w:line="580" w:lineRule="exact"/>
        <w:ind w:firstLine="640"/>
        <w:jc w:val="both"/>
      </w:pPr>
      <w:r>
        <w:rPr>
          <w:rFonts w:ascii="仿宋_GB2312" w:hAnsi="仿宋_GB2312" w:eastAsia="仿宋_GB2312"/>
          <w:b w:val="0"/>
          <w:sz w:val="32"/>
        </w:rPr>
        <w:t>11.其他支出(类)其他支出(款)其他支出(项):支出决算数为7.41万元，比上年决算增加5.44万元，增长276.14%,主要原因是：本年为民办实事工作经费较上年增加。</w:t>
      </w:r>
    </w:p>
    <w:p w14:paraId="3FC73861">
      <w:pPr>
        <w:spacing w:line="640" w:lineRule="exact"/>
        <w:ind w:firstLine="640"/>
        <w:jc w:val="both"/>
        <w:outlineLvl w:val="2"/>
      </w:pPr>
      <w:r>
        <w:rPr>
          <w:rFonts w:ascii="黑体" w:hAnsi="黑体" w:eastAsia="黑体"/>
          <w:sz w:val="32"/>
        </w:rPr>
        <w:t>六、一般公共预算财政拨款基本支出决算情况说明</w:t>
      </w:r>
    </w:p>
    <w:p w14:paraId="7781705B">
      <w:pPr>
        <w:spacing w:line="580" w:lineRule="exact"/>
        <w:ind w:firstLine="640"/>
        <w:jc w:val="both"/>
      </w:pPr>
      <w:r>
        <w:rPr>
          <w:rFonts w:ascii="仿宋_GB2312" w:hAnsi="仿宋_GB2312" w:eastAsia="仿宋_GB2312"/>
          <w:b w:val="0"/>
          <w:sz w:val="32"/>
        </w:rPr>
        <w:t>2024年度一般公共预算财政拨款基本支出1,676.33万元，其中：</w:t>
      </w:r>
      <w:r>
        <w:rPr>
          <w:rFonts w:ascii="仿宋_GB2312" w:hAnsi="仿宋_GB2312" w:eastAsia="仿宋_GB2312"/>
          <w:b/>
          <w:sz w:val="32"/>
        </w:rPr>
        <w:t>人员经费1,574.71万元，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7A04CD15">
      <w:pPr>
        <w:spacing w:line="580" w:lineRule="exact"/>
        <w:ind w:firstLine="640"/>
        <w:jc w:val="both"/>
      </w:pPr>
      <w:r>
        <w:rPr>
          <w:rFonts w:ascii="仿宋_GB2312" w:hAnsi="仿宋_GB2312" w:eastAsia="仿宋_GB2312"/>
          <w:b/>
          <w:sz w:val="32"/>
        </w:rPr>
        <w:t>公用经费101.62万元，</w:t>
      </w:r>
      <w:r>
        <w:rPr>
          <w:rFonts w:ascii="仿宋_GB2312" w:hAnsi="仿宋_GB2312" w:eastAsia="仿宋_GB2312"/>
          <w:b w:val="0"/>
          <w:sz w:val="32"/>
        </w:rPr>
        <w:t>包括：办公费、电费、邮电费、取暖费、物业管理费、差旅费、维修（护）费、租赁费、培训费、委托业务费、工会经费、其他交通费用、其他商品和服务支出、办公设备购置。</w:t>
      </w:r>
    </w:p>
    <w:p w14:paraId="2DF6AD83">
      <w:pPr>
        <w:spacing w:line="640" w:lineRule="exact"/>
        <w:ind w:firstLine="640"/>
        <w:jc w:val="both"/>
        <w:outlineLvl w:val="2"/>
      </w:pPr>
      <w:r>
        <w:rPr>
          <w:rFonts w:ascii="黑体" w:hAnsi="黑体" w:eastAsia="黑体"/>
          <w:sz w:val="32"/>
        </w:rPr>
        <w:t>七、政府性基金预算财政拨款收入支出决算情况说明</w:t>
      </w:r>
    </w:p>
    <w:p w14:paraId="50FCDFC6">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022C6B04">
      <w:pPr>
        <w:spacing w:line="640" w:lineRule="exact"/>
        <w:ind w:firstLine="640"/>
        <w:jc w:val="both"/>
        <w:outlineLvl w:val="2"/>
      </w:pPr>
      <w:r>
        <w:rPr>
          <w:rFonts w:ascii="黑体" w:hAnsi="黑体" w:eastAsia="黑体"/>
          <w:sz w:val="32"/>
        </w:rPr>
        <w:t>八、国有资本经营预算财政拨款收入支出决算情况说明</w:t>
      </w:r>
    </w:p>
    <w:p w14:paraId="7A74798F">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0733C6EE">
      <w:pPr>
        <w:spacing w:line="640" w:lineRule="exact"/>
        <w:ind w:firstLine="640"/>
        <w:jc w:val="both"/>
        <w:outlineLvl w:val="2"/>
      </w:pPr>
      <w:r>
        <w:rPr>
          <w:rFonts w:ascii="黑体" w:hAnsi="黑体" w:eastAsia="黑体"/>
          <w:sz w:val="32"/>
        </w:rPr>
        <w:t>九、财政拨款“三公”经费支出决算情况说明</w:t>
      </w:r>
    </w:p>
    <w:p w14:paraId="56F0F4D2">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F58F252">
      <w:pPr>
        <w:spacing w:line="580" w:lineRule="exact"/>
        <w:ind w:firstLine="640"/>
        <w:jc w:val="both"/>
      </w:pPr>
      <w:r>
        <w:rPr>
          <w:rFonts w:ascii="仿宋_GB2312" w:hAnsi="仿宋_GB2312" w:eastAsia="仿宋_GB2312"/>
          <w:b/>
          <w:sz w:val="32"/>
        </w:rPr>
        <w:t>具体情况如下：</w:t>
      </w:r>
    </w:p>
    <w:p w14:paraId="689B2391">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1255AB1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3辆，与公务用车保有量差异原因是：差异车辆为一般业务用车，预算未安排公务用车运行维护费。</w:t>
      </w:r>
    </w:p>
    <w:p w14:paraId="52A2976A">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182F9E2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13D5E4FC">
      <w:pPr>
        <w:spacing w:line="640" w:lineRule="exact"/>
        <w:ind w:firstLine="640"/>
        <w:jc w:val="both"/>
        <w:outlineLvl w:val="2"/>
      </w:pPr>
      <w:r>
        <w:rPr>
          <w:rFonts w:ascii="黑体" w:hAnsi="黑体" w:eastAsia="黑体"/>
          <w:sz w:val="32"/>
        </w:rPr>
        <w:t>十、其他重要事项的情况说明</w:t>
      </w:r>
    </w:p>
    <w:p w14:paraId="439B89EA">
      <w:pPr>
        <w:spacing w:line="640" w:lineRule="exact"/>
        <w:ind w:firstLine="640"/>
        <w:jc w:val="both"/>
        <w:outlineLvl w:val="3"/>
      </w:pPr>
      <w:r>
        <w:rPr>
          <w:rFonts w:ascii="楷体_GB2312" w:hAnsi="楷体_GB2312" w:eastAsia="楷体_GB2312"/>
          <w:b/>
          <w:sz w:val="32"/>
        </w:rPr>
        <w:t>（一）机关运行经费及公用经费支出情况</w:t>
      </w:r>
    </w:p>
    <w:p w14:paraId="3440F8B2">
      <w:pPr>
        <w:spacing w:line="580" w:lineRule="exact"/>
        <w:ind w:firstLine="640"/>
        <w:jc w:val="both"/>
      </w:pPr>
      <w:r>
        <w:rPr>
          <w:rFonts w:ascii="仿宋_GB2312" w:hAnsi="仿宋_GB2312" w:eastAsia="仿宋_GB2312"/>
          <w:b w:val="0"/>
          <w:sz w:val="32"/>
        </w:rPr>
        <w:t>2024年度中共且末县纪律检查委员会本级（行政单位和参照公务员法管理事业单位）机关运行经费支出101.62万元，比上年增加19.12万元，增长23.18%，主要原因是：本年因业务需求，差旅费支出增加，导致机关运行经费支出增加。</w:t>
      </w:r>
      <w:bookmarkStart w:id="0" w:name="_GoBack"/>
      <w:bookmarkEnd w:id="0"/>
    </w:p>
    <w:p w14:paraId="0C1B7B7B">
      <w:pPr>
        <w:spacing w:line="640" w:lineRule="exact"/>
        <w:ind w:firstLine="640"/>
        <w:jc w:val="both"/>
        <w:outlineLvl w:val="3"/>
      </w:pPr>
      <w:r>
        <w:rPr>
          <w:rFonts w:ascii="楷体_GB2312" w:hAnsi="楷体_GB2312" w:eastAsia="楷体_GB2312"/>
          <w:b/>
          <w:sz w:val="32"/>
        </w:rPr>
        <w:t>（二）政府采购情况</w:t>
      </w:r>
    </w:p>
    <w:p w14:paraId="0FFBEC21">
      <w:pPr>
        <w:spacing w:line="580" w:lineRule="exact"/>
        <w:ind w:firstLine="640"/>
        <w:jc w:val="both"/>
      </w:pPr>
      <w:r>
        <w:rPr>
          <w:rFonts w:ascii="仿宋_GB2312" w:hAnsi="仿宋_GB2312" w:eastAsia="仿宋_GB2312"/>
          <w:b w:val="0"/>
          <w:sz w:val="32"/>
        </w:rPr>
        <w:t>2024年度政府采购支出总额48.38万元，其中：政府采购货物支出28.69万元、政府采购工程支出0.00万元、政府采购服务支出19.69万元。</w:t>
      </w:r>
    </w:p>
    <w:p w14:paraId="7BD5A708">
      <w:pPr>
        <w:spacing w:line="580" w:lineRule="exact"/>
        <w:ind w:firstLine="640"/>
        <w:jc w:val="both"/>
      </w:pPr>
      <w:r>
        <w:rPr>
          <w:rFonts w:ascii="仿宋_GB2312" w:hAnsi="仿宋_GB2312" w:eastAsia="仿宋_GB2312"/>
          <w:b w:val="0"/>
          <w:sz w:val="32"/>
        </w:rPr>
        <w:t>授予中小企业合同金额42.78万元，占政府采购支出总额的88.42%，其中：授予小微企业合同金额42.78万元，占政府采购支出总额的88.42%。</w:t>
      </w:r>
    </w:p>
    <w:p w14:paraId="652444B9">
      <w:pPr>
        <w:spacing w:line="640" w:lineRule="exact"/>
        <w:ind w:firstLine="640"/>
        <w:jc w:val="both"/>
        <w:outlineLvl w:val="3"/>
      </w:pPr>
      <w:r>
        <w:rPr>
          <w:rFonts w:ascii="楷体_GB2312" w:hAnsi="楷体_GB2312" w:eastAsia="楷体_GB2312"/>
          <w:b/>
          <w:sz w:val="32"/>
        </w:rPr>
        <w:t>（三）国有资产占用情况说明</w:t>
      </w:r>
    </w:p>
    <w:p w14:paraId="5BA1C936">
      <w:pPr>
        <w:spacing w:line="580" w:lineRule="exact"/>
        <w:ind w:firstLine="640"/>
        <w:jc w:val="both"/>
      </w:pPr>
      <w:r>
        <w:rPr>
          <w:rFonts w:ascii="仿宋_GB2312" w:hAnsi="仿宋_GB2312" w:eastAsia="仿宋_GB2312"/>
          <w:b w:val="0"/>
          <w:sz w:val="32"/>
        </w:rPr>
        <w:t>截至2024年12月31日，房屋2,090.90平方米，价值585.61万元。车辆3辆，价值54.69万元，其中：副部（省）级及以上领导用车0辆、主要负责人用车0辆、机要通信用车0辆、应急保障用车0辆、执法执勤用车3辆、特种专业技术用车0辆、离退休干部服务用车0辆、其他用车0辆，其他用车主要是：本部门无其他用车。单价100万元（含）以上设备（不含车辆）0台（套）。</w:t>
      </w:r>
    </w:p>
    <w:p w14:paraId="20DCF213">
      <w:pPr>
        <w:spacing w:line="640" w:lineRule="exact"/>
        <w:ind w:firstLine="640"/>
        <w:jc w:val="both"/>
        <w:outlineLvl w:val="2"/>
      </w:pPr>
      <w:r>
        <w:rPr>
          <w:rFonts w:ascii="黑体" w:hAnsi="黑体" w:eastAsia="黑体"/>
          <w:sz w:val="32"/>
        </w:rPr>
        <w:t>十一、预算绩效的情况说明</w:t>
      </w:r>
    </w:p>
    <w:p w14:paraId="03C77486">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1,703.97万元，实际执行总额1,703.97万元；预算绩效评价项目1个，全年预算数2.43万元，全年执行数2.43万元。预算绩效管理取得的成效：一是增强对预算绩效管</w:t>
      </w:r>
      <w:r>
        <w:rPr>
          <w:rFonts w:hint="eastAsia" w:ascii="仿宋_GB2312" w:hAnsi="仿宋_GB2312" w:eastAsia="仿宋_GB2312"/>
          <w:b w:val="0"/>
          <w:sz w:val="32"/>
          <w:lang w:eastAsia="zh-CN"/>
        </w:rPr>
        <w:t>理的</w:t>
      </w:r>
      <w:r>
        <w:rPr>
          <w:rFonts w:ascii="仿宋_GB2312" w:hAnsi="仿宋_GB2312" w:eastAsia="仿宋_GB2312"/>
          <w:b w:val="0"/>
          <w:sz w:val="32"/>
        </w:rPr>
        <w:t>重视，预算绩效管理方式从单纯的事后评价向事前、事中、事后全过程管理转变；二是根据实际情况经过集体研究科学</w:t>
      </w:r>
      <w:r>
        <w:rPr>
          <w:rFonts w:hint="eastAsia" w:ascii="仿宋_GB2312" w:hAnsi="仿宋_GB2312" w:eastAsia="仿宋_GB2312"/>
          <w:b w:val="0"/>
          <w:sz w:val="32"/>
          <w:lang w:eastAsia="zh-CN"/>
        </w:rPr>
        <w:t>地</w:t>
      </w:r>
      <w:r>
        <w:rPr>
          <w:rFonts w:ascii="仿宋_GB2312" w:hAnsi="仿宋_GB2312" w:eastAsia="仿宋_GB2312"/>
          <w:b w:val="0"/>
          <w:sz w:val="32"/>
        </w:rPr>
        <w:t>提出了预算计划，严格资金使用预算规划和管理，提高了资金使用效率。发现的问题及原因：问题：一是预算绩效管理水平有待提升；二是预算绩效管理学习有待加强。原因：对预算绩效管理的掌握不够扎实，对预算绩效管理认识不深，有待加强学习。下一步改进措施：一是增强预算绩效的重视度，预算绩效目标要结合单位实际设计；二是增强对预算绩效管理的学习，通过培训预算绩效相关的法律法规、各项要求，提升管理人员及编制人员对预算绩效管理的重视性，科学设置预算绩效目标。具体附部门整体支出绩效自评表，项目支出绩效自评表。</w:t>
      </w:r>
    </w:p>
    <w:p w14:paraId="673371B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BFD872D">
        <w:tblPrEx>
          <w:tblCellMar>
            <w:top w:w="0" w:type="dxa"/>
            <w:left w:w="108" w:type="dxa"/>
            <w:bottom w:w="0" w:type="dxa"/>
            <w:right w:w="108" w:type="dxa"/>
          </w:tblCellMar>
        </w:tblPrEx>
        <w:tc>
          <w:tcPr>
            <w:tcW w:w="8847" w:type="dxa"/>
            <w:gridSpan w:val="9"/>
            <w:vAlign w:val="center"/>
          </w:tcPr>
          <w:p w14:paraId="0F52D428">
            <w:pPr>
              <w:jc w:val="center"/>
            </w:pPr>
            <w:r>
              <w:rPr>
                <w:rFonts w:ascii="宋体" w:hAnsi="宋体" w:eastAsia="宋体"/>
                <w:sz w:val="24"/>
              </w:rPr>
              <w:t>部门整体支出绩效自评表</w:t>
            </w:r>
          </w:p>
        </w:tc>
      </w:tr>
      <w:tr w14:paraId="4CA4AD69">
        <w:tblPrEx>
          <w:tblCellMar>
            <w:top w:w="0" w:type="dxa"/>
            <w:left w:w="108" w:type="dxa"/>
            <w:bottom w:w="0" w:type="dxa"/>
            <w:right w:w="108" w:type="dxa"/>
          </w:tblCellMar>
        </w:tblPrEx>
        <w:tc>
          <w:tcPr>
            <w:tcW w:w="8847" w:type="dxa"/>
            <w:gridSpan w:val="9"/>
            <w:vAlign w:val="center"/>
          </w:tcPr>
          <w:p w14:paraId="1078F6AD">
            <w:pPr>
              <w:jc w:val="center"/>
            </w:pPr>
            <w:r>
              <w:rPr>
                <w:rFonts w:ascii="宋体" w:hAnsi="宋体" w:eastAsia="宋体"/>
                <w:sz w:val="24"/>
              </w:rPr>
              <w:t>（2024年度）</w:t>
            </w:r>
          </w:p>
        </w:tc>
      </w:tr>
      <w:tr w14:paraId="38B74B0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9477C">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48051D4">
            <w:pPr>
              <w:jc w:val="center"/>
            </w:pPr>
            <w:r>
              <w:rPr>
                <w:rFonts w:ascii="宋体" w:hAnsi="宋体" w:eastAsia="宋体"/>
                <w:sz w:val="16"/>
              </w:rPr>
              <w:t>中共且末县纪律检查委员会本级</w:t>
            </w:r>
          </w:p>
        </w:tc>
      </w:tr>
      <w:tr w14:paraId="7FC04DB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58B7A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02B0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8B7D4">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CCE3D">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AAEFA">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CC3B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B241B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E8FFD">
            <w:pPr>
              <w:jc w:val="center"/>
            </w:pPr>
            <w:r>
              <w:rPr>
                <w:rFonts w:ascii="宋体" w:hAnsi="宋体" w:eastAsia="宋体"/>
                <w:sz w:val="16"/>
              </w:rPr>
              <w:t>得分</w:t>
            </w:r>
          </w:p>
        </w:tc>
      </w:tr>
      <w:tr w14:paraId="3C8FF7A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94A81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D8320">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504FB">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533FD">
            <w:pPr>
              <w:jc w:val="center"/>
            </w:pPr>
            <w:r>
              <w:rPr>
                <w:rFonts w:ascii="宋体" w:hAnsi="宋体" w:eastAsia="宋体"/>
                <w:sz w:val="16"/>
              </w:rPr>
              <w:t>1,838.86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370CFC">
            <w:pPr>
              <w:jc w:val="center"/>
            </w:pPr>
            <w:r>
              <w:rPr>
                <w:rFonts w:ascii="宋体" w:hAnsi="宋体" w:eastAsia="宋体"/>
                <w:sz w:val="16"/>
              </w:rPr>
              <w:t>1,703.97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03C98">
            <w:pPr>
              <w:jc w:val="center"/>
            </w:pPr>
            <w:r>
              <w:rPr>
                <w:rFonts w:ascii="宋体" w:hAnsi="宋体" w:eastAsia="宋体"/>
                <w:sz w:val="16"/>
              </w:rPr>
              <w:t>1,703.97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C5F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1E37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53D89">
            <w:pPr>
              <w:jc w:val="center"/>
            </w:pPr>
            <w:r>
              <w:rPr>
                <w:rFonts w:ascii="宋体" w:hAnsi="宋体" w:eastAsia="宋体"/>
                <w:sz w:val="16"/>
              </w:rPr>
              <w:t>10</w:t>
            </w:r>
          </w:p>
        </w:tc>
      </w:tr>
      <w:tr w14:paraId="0CDC3E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E1F10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4B03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FA302">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E57B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B07B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FFB7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886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D29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4670B">
            <w:pPr>
              <w:jc w:val="center"/>
            </w:pPr>
            <w:r>
              <w:rPr>
                <w:rFonts w:ascii="宋体" w:hAnsi="宋体" w:eastAsia="宋体"/>
                <w:sz w:val="16"/>
              </w:rPr>
              <w:t>-</w:t>
            </w:r>
          </w:p>
        </w:tc>
      </w:tr>
      <w:tr w14:paraId="0F1F09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79DA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F35A3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EE6410">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18D8A">
            <w:pPr>
              <w:jc w:val="center"/>
            </w:pPr>
            <w:r>
              <w:rPr>
                <w:rFonts w:ascii="宋体" w:hAnsi="宋体" w:eastAsia="宋体"/>
                <w:sz w:val="16"/>
              </w:rPr>
              <w:t>1,838.86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E13A4E">
            <w:pPr>
              <w:jc w:val="center"/>
            </w:pPr>
            <w:r>
              <w:rPr>
                <w:rFonts w:ascii="宋体" w:hAnsi="宋体" w:eastAsia="宋体"/>
                <w:sz w:val="16"/>
              </w:rPr>
              <w:t>1,703.97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E099C">
            <w:pPr>
              <w:jc w:val="center"/>
            </w:pPr>
            <w:r>
              <w:rPr>
                <w:rFonts w:ascii="宋体" w:hAnsi="宋体" w:eastAsia="宋体"/>
                <w:sz w:val="16"/>
              </w:rPr>
              <w:t>1,703.97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F176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9F2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8ACB70">
            <w:pPr>
              <w:jc w:val="center"/>
            </w:pPr>
            <w:r>
              <w:rPr>
                <w:rFonts w:ascii="宋体" w:hAnsi="宋体" w:eastAsia="宋体"/>
                <w:sz w:val="16"/>
              </w:rPr>
              <w:t>-</w:t>
            </w:r>
          </w:p>
        </w:tc>
      </w:tr>
      <w:tr w14:paraId="2C150E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4052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B2162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7B6F1">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C74B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D822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E61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81183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DE5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72E24">
            <w:pPr>
              <w:jc w:val="center"/>
            </w:pPr>
            <w:r>
              <w:rPr>
                <w:rFonts w:ascii="宋体" w:hAnsi="宋体" w:eastAsia="宋体"/>
                <w:sz w:val="16"/>
              </w:rPr>
              <w:t>-</w:t>
            </w:r>
          </w:p>
        </w:tc>
      </w:tr>
      <w:tr w14:paraId="7C1D5D2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5037F">
            <w:pPr>
              <w:jc w:val="center"/>
            </w:pPr>
            <w:r>
              <w:rPr>
                <w:rFonts w:ascii="宋体" w:hAnsi="宋体" w:eastAsia="宋体"/>
                <w:sz w:val="16"/>
              </w:rPr>
              <w:t>年度总体目标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7847F2">
            <w:pPr>
              <w:jc w:val="center"/>
            </w:pPr>
            <w:r>
              <w:rPr>
                <w:rFonts w:ascii="宋体" w:hAnsi="宋体" w:eastAsia="宋体"/>
                <w:sz w:val="16"/>
              </w:rPr>
              <w:t>预期目标</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3FF6AE">
            <w:pPr>
              <w:jc w:val="center"/>
            </w:pPr>
            <w:r>
              <w:rPr>
                <w:rFonts w:ascii="宋体" w:hAnsi="宋体" w:eastAsia="宋体"/>
                <w:sz w:val="16"/>
              </w:rPr>
              <w:t>实际完成情况</w:t>
            </w:r>
          </w:p>
        </w:tc>
      </w:tr>
      <w:tr w14:paraId="44E006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E6D585"/>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77F25C">
            <w:pPr>
              <w:jc w:val="both"/>
            </w:pPr>
            <w:r>
              <w:rPr>
                <w:rFonts w:ascii="宋体" w:hAnsi="宋体" w:eastAsia="宋体"/>
                <w:sz w:val="16"/>
              </w:rPr>
              <w:t>1、做好我县党的纪律检查，认真抓好反腐败斗争，维护党的章程和其他党内法规，处理违反党章和其他党内法规的案件，全面贯彻落实13个乡镇的两个全覆盖。</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2、做好全县行政监察工作，监督检查县政府各部门及其工作人员贯彻执行国家政策和法律法规，处理违反国家政策、法律法规以及违反政纪的行为。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3、深入推进反腐败斗争，营造风清气正的良好政治生态，强化自我监督、自觉接受监督，建设忠诚干净担当的纪检监察干部队伍。</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4、加大全县违纪违规案件的督查督办力度，紧盯巡察、信访等渠道群众反映的突出问题；加强案件查办、巡察工作、派驻纪检组、巡视</w:t>
            </w:r>
            <w:r>
              <w:rPr>
                <w:rFonts w:hint="eastAsia" w:ascii="宋体" w:hAnsi="宋体"/>
                <w:sz w:val="16"/>
                <w:lang w:eastAsia="zh-CN"/>
              </w:rPr>
              <w:t>巡察</w:t>
            </w:r>
            <w:r>
              <w:rPr>
                <w:rFonts w:ascii="宋体" w:hAnsi="宋体" w:eastAsia="宋体"/>
                <w:sz w:val="16"/>
              </w:rPr>
              <w:t>等工作。</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80A62C">
            <w:pPr>
              <w:jc w:val="both"/>
            </w:pPr>
            <w:r>
              <w:rPr>
                <w:rFonts w:ascii="宋体" w:hAnsi="宋体" w:eastAsia="宋体"/>
                <w:sz w:val="16"/>
              </w:rPr>
              <w:t>2024年中共且末县纪律检查委员会年初预算数1838.86万元，全年执行数1703.97万元， 案件办理时效1年，案件办结率达到95.04%，信访举报件签收率达到100%，问题线索处置率达到100%，开展巡察工作次数4次，受理信访群众292人，监督检查覆盖率达到100%，通过查处违法乱纪行为，维护了党的纯洁性和形象，及时处理群众反映的问题，保障了人民群众的合法权益，增强了领导干部纪律意识，预防违纪违法行为。</w:t>
            </w:r>
          </w:p>
        </w:tc>
      </w:tr>
      <w:tr w14:paraId="06E40F7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DF42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8819E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8AB1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326C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E9E81">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0F1C2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DD769">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76BE3">
            <w:pPr>
              <w:jc w:val="center"/>
            </w:pPr>
            <w:r>
              <w:rPr>
                <w:rFonts w:ascii="宋体" w:hAnsi="宋体" w:eastAsia="宋体"/>
                <w:sz w:val="16"/>
              </w:rPr>
              <w:t>得分</w:t>
            </w:r>
          </w:p>
        </w:tc>
      </w:tr>
      <w:tr w14:paraId="3DA5A05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E7F2A">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B771B">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CF92FA">
            <w:pPr>
              <w:jc w:val="center"/>
            </w:pPr>
            <w:r>
              <w:rPr>
                <w:rFonts w:ascii="宋体" w:hAnsi="宋体" w:eastAsia="宋体"/>
                <w:sz w:val="16"/>
              </w:rPr>
              <w:t>案件办理时效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E07AE">
            <w:pPr>
              <w:jc w:val="center"/>
            </w:pPr>
            <w:r>
              <w:rPr>
                <w:rFonts w:ascii="宋体" w:hAnsi="宋体" w:eastAsia="宋体"/>
                <w:sz w:val="16"/>
              </w:rPr>
              <w:t>&lt;=1年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1F156">
            <w:pPr>
              <w:jc w:val="center"/>
            </w:pPr>
            <w:r>
              <w:rPr>
                <w:rFonts w:ascii="宋体" w:hAnsi="宋体" w:eastAsia="宋体"/>
                <w:sz w:val="16"/>
              </w:rPr>
              <w:t>《纪检监察机关问题线索管理办法》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F66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4BBA9B">
            <w:pPr>
              <w:jc w:val="center"/>
            </w:pPr>
            <w:r>
              <w:rPr>
                <w:rFonts w:ascii="宋体" w:hAnsi="宋体" w:eastAsia="宋体"/>
                <w:sz w:val="16"/>
              </w:rPr>
              <w:t>1年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39EF08">
            <w:pPr>
              <w:jc w:val="center"/>
            </w:pPr>
            <w:r>
              <w:rPr>
                <w:rFonts w:ascii="宋体" w:hAnsi="宋体" w:eastAsia="宋体"/>
                <w:sz w:val="16"/>
              </w:rPr>
              <w:t>10</w:t>
            </w:r>
          </w:p>
        </w:tc>
      </w:tr>
      <w:tr w14:paraId="0A49C92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3A69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8E9C5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FF9D0">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55402">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CB604F">
            <w:pPr>
              <w:jc w:val="center"/>
            </w:pPr>
            <w:r>
              <w:rPr>
                <w:rFonts w:ascii="宋体" w:hAnsi="宋体" w:eastAsia="宋体"/>
                <w:sz w:val="16"/>
              </w:rPr>
              <w:t>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A728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5B37E">
            <w:pPr>
              <w:jc w:val="center"/>
            </w:pPr>
            <w:r>
              <w:rPr>
                <w:rFonts w:ascii="宋体" w:hAnsi="宋体" w:eastAsia="宋体"/>
                <w:sz w:val="16"/>
              </w:rPr>
              <w:t>95.04%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F7BD7">
            <w:pPr>
              <w:jc w:val="center"/>
            </w:pPr>
            <w:r>
              <w:rPr>
                <w:rFonts w:ascii="宋体" w:hAnsi="宋体" w:eastAsia="宋体"/>
                <w:sz w:val="16"/>
              </w:rPr>
              <w:t>10</w:t>
            </w:r>
          </w:p>
        </w:tc>
      </w:tr>
      <w:tr w14:paraId="531C12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1B7E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104F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62024">
            <w:pPr>
              <w:jc w:val="center"/>
            </w:pPr>
            <w:r>
              <w:rPr>
                <w:rFonts w:ascii="宋体" w:hAnsi="宋体" w:eastAsia="宋体"/>
                <w:sz w:val="16"/>
              </w:rPr>
              <w:t>信访举报件签收率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F068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17EE8">
            <w:pPr>
              <w:jc w:val="center"/>
            </w:pPr>
            <w:r>
              <w:rPr>
                <w:rFonts w:ascii="宋体" w:hAnsi="宋体" w:eastAsia="宋体"/>
                <w:sz w:val="16"/>
              </w:rPr>
              <w:t>《纪检监察机关处理检举控告工作规则》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175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8351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60E2A">
            <w:pPr>
              <w:jc w:val="center"/>
            </w:pPr>
            <w:r>
              <w:rPr>
                <w:rFonts w:ascii="宋体" w:hAnsi="宋体" w:eastAsia="宋体"/>
                <w:sz w:val="16"/>
              </w:rPr>
              <w:t>10</w:t>
            </w:r>
          </w:p>
        </w:tc>
      </w:tr>
      <w:tr w14:paraId="0F0E93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78512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59D5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245BF">
            <w:pPr>
              <w:jc w:val="center"/>
            </w:pPr>
            <w:r>
              <w:rPr>
                <w:rFonts w:ascii="宋体" w:hAnsi="宋体" w:eastAsia="宋体"/>
                <w:sz w:val="16"/>
              </w:rPr>
              <w:t>问题线索处置率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D535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386F14">
            <w:pPr>
              <w:jc w:val="center"/>
            </w:pPr>
            <w:r>
              <w:rPr>
                <w:rFonts w:ascii="宋体" w:hAnsi="宋体" w:eastAsia="宋体"/>
                <w:sz w:val="16"/>
              </w:rPr>
              <w:t>《纪检监察机关问题线索管理办法》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A9A7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AE4F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9A8AD">
            <w:pPr>
              <w:jc w:val="center"/>
            </w:pPr>
            <w:r>
              <w:rPr>
                <w:rFonts w:ascii="宋体" w:hAnsi="宋体" w:eastAsia="宋体"/>
                <w:sz w:val="16"/>
              </w:rPr>
              <w:t>15</w:t>
            </w:r>
          </w:p>
        </w:tc>
      </w:tr>
      <w:tr w14:paraId="18E18B0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3B608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E61A6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909E0">
            <w:pPr>
              <w:jc w:val="center"/>
            </w:pPr>
            <w:r>
              <w:rPr>
                <w:rFonts w:ascii="宋体" w:hAnsi="宋体" w:eastAsia="宋体"/>
                <w:sz w:val="16"/>
              </w:rPr>
              <w:t>开展巡察工作次数（次）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868F0">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52C66">
            <w:pPr>
              <w:jc w:val="center"/>
            </w:pPr>
            <w:r>
              <w:rPr>
                <w:rFonts w:ascii="宋体" w:hAnsi="宋体" w:eastAsia="宋体"/>
                <w:sz w:val="16"/>
              </w:rPr>
              <w:t>《中国共产党巡视工作条例》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2049D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38389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20A7E">
            <w:pPr>
              <w:jc w:val="center"/>
            </w:pPr>
            <w:r>
              <w:rPr>
                <w:rFonts w:ascii="宋体" w:hAnsi="宋体" w:eastAsia="宋体"/>
                <w:sz w:val="16"/>
              </w:rPr>
              <w:t>15</w:t>
            </w:r>
          </w:p>
        </w:tc>
      </w:tr>
      <w:tr w14:paraId="42F7F0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4069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4B589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99D2D1">
            <w:pPr>
              <w:jc w:val="center"/>
            </w:pPr>
            <w:r>
              <w:rPr>
                <w:rFonts w:ascii="宋体" w:hAnsi="宋体" w:eastAsia="宋体"/>
                <w:sz w:val="16"/>
              </w:rPr>
              <w:t>受理信访群众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2A52F">
            <w:pPr>
              <w:jc w:val="center"/>
            </w:pPr>
            <w:r>
              <w:rPr>
                <w:rFonts w:ascii="宋体" w:hAnsi="宋体" w:eastAsia="宋体"/>
                <w:sz w:val="16"/>
              </w:rPr>
              <w:t>&gt;=20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72BBE">
            <w:pPr>
              <w:jc w:val="center"/>
            </w:pPr>
            <w:r>
              <w:rPr>
                <w:rFonts w:ascii="宋体" w:hAnsi="宋体" w:eastAsia="宋体"/>
                <w:sz w:val="16"/>
              </w:rPr>
              <w:t>《纪检监察机关处理检举控告工作规划》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C683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12FDB">
            <w:pPr>
              <w:jc w:val="center"/>
            </w:pPr>
            <w:r>
              <w:rPr>
                <w:rFonts w:ascii="宋体" w:hAnsi="宋体" w:eastAsia="宋体"/>
                <w:sz w:val="16"/>
              </w:rPr>
              <w:t>292人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B32E8D">
            <w:pPr>
              <w:jc w:val="center"/>
            </w:pPr>
            <w:r>
              <w:rPr>
                <w:rFonts w:ascii="宋体" w:hAnsi="宋体" w:eastAsia="宋体"/>
                <w:sz w:val="16"/>
              </w:rPr>
              <w:t>10</w:t>
            </w:r>
          </w:p>
        </w:tc>
      </w:tr>
      <w:tr w14:paraId="7A3C252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E95FB">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9CD7A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F79CE">
            <w:pPr>
              <w:jc w:val="center"/>
            </w:pPr>
            <w:r>
              <w:rPr>
                <w:rFonts w:ascii="宋体" w:hAnsi="宋体" w:eastAsia="宋体"/>
                <w:sz w:val="16"/>
              </w:rPr>
              <w:t>监督检查覆盖率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4A2B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A83BA">
            <w:pPr>
              <w:jc w:val="center"/>
            </w:pPr>
            <w:r>
              <w:rPr>
                <w:rFonts w:ascii="宋体" w:hAnsi="宋体" w:eastAsia="宋体"/>
                <w:sz w:val="16"/>
              </w:rPr>
              <w:t>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87D4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D39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5FF99">
            <w:pPr>
              <w:jc w:val="center"/>
            </w:pPr>
            <w:r>
              <w:rPr>
                <w:rFonts w:ascii="宋体" w:hAnsi="宋体" w:eastAsia="宋体"/>
                <w:sz w:val="16"/>
              </w:rPr>
              <w:t>10</w:t>
            </w:r>
          </w:p>
        </w:tc>
      </w:tr>
      <w:tr w14:paraId="451C134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A4A45">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96B03">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2A83A">
            <w:pPr>
              <w:jc w:val="center"/>
            </w:pPr>
            <w:r>
              <w:rPr>
                <w:rFonts w:ascii="宋体" w:hAnsi="宋体" w:eastAsia="宋体"/>
                <w:sz w:val="16"/>
              </w:rPr>
              <w:t>社会大众满意度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348CA">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DC6BA">
            <w:pPr>
              <w:jc w:val="center"/>
            </w:pPr>
            <w:r>
              <w:rPr>
                <w:rFonts w:ascii="宋体" w:hAnsi="宋体" w:eastAsia="宋体"/>
                <w:sz w:val="16"/>
              </w:rPr>
              <w:t>工作安排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4AA2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A27A2">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21A56">
            <w:pPr>
              <w:jc w:val="center"/>
            </w:pPr>
            <w:r>
              <w:rPr>
                <w:rFonts w:ascii="宋体" w:hAnsi="宋体" w:eastAsia="宋体"/>
                <w:sz w:val="16"/>
              </w:rPr>
              <w:t>10</w:t>
            </w:r>
          </w:p>
        </w:tc>
      </w:tr>
    </w:tbl>
    <w:p w14:paraId="08FE929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38A520A7">
        <w:tblPrEx>
          <w:tblCellMar>
            <w:top w:w="0" w:type="dxa"/>
            <w:left w:w="108" w:type="dxa"/>
            <w:bottom w:w="0" w:type="dxa"/>
            <w:right w:w="108" w:type="dxa"/>
          </w:tblCellMar>
        </w:tblPrEx>
        <w:tc>
          <w:tcPr>
            <w:tcW w:w="8848" w:type="dxa"/>
            <w:gridSpan w:val="14"/>
            <w:vAlign w:val="center"/>
          </w:tcPr>
          <w:p w14:paraId="51B13469">
            <w:pPr>
              <w:jc w:val="center"/>
            </w:pPr>
            <w:r>
              <w:rPr>
                <w:rFonts w:ascii="宋体" w:hAnsi="宋体" w:eastAsia="宋体"/>
                <w:sz w:val="24"/>
              </w:rPr>
              <w:t>项目支出绩效自评表</w:t>
            </w:r>
          </w:p>
        </w:tc>
      </w:tr>
      <w:tr w14:paraId="1A7ECB91">
        <w:tblPrEx>
          <w:tblCellMar>
            <w:top w:w="0" w:type="dxa"/>
            <w:left w:w="108" w:type="dxa"/>
            <w:bottom w:w="0" w:type="dxa"/>
            <w:right w:w="108" w:type="dxa"/>
          </w:tblCellMar>
        </w:tblPrEx>
        <w:tc>
          <w:tcPr>
            <w:tcW w:w="8848" w:type="dxa"/>
            <w:gridSpan w:val="14"/>
            <w:vAlign w:val="center"/>
          </w:tcPr>
          <w:p w14:paraId="7ED58BBB">
            <w:pPr>
              <w:jc w:val="center"/>
            </w:pPr>
            <w:r>
              <w:rPr>
                <w:rFonts w:ascii="宋体" w:hAnsi="宋体" w:eastAsia="宋体"/>
                <w:sz w:val="24"/>
              </w:rPr>
              <w:t>(2024年度)</w:t>
            </w:r>
          </w:p>
        </w:tc>
      </w:tr>
      <w:tr w14:paraId="029E2C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9516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31C61B">
            <w:pPr>
              <w:jc w:val="center"/>
            </w:pPr>
            <w:r>
              <w:rPr>
                <w:rFonts w:ascii="宋体" w:hAnsi="宋体" w:eastAsia="宋体"/>
                <w:sz w:val="16"/>
              </w:rPr>
              <w:t>纪委业务用房办理房产证契税及维修基金</w:t>
            </w:r>
          </w:p>
        </w:tc>
      </w:tr>
      <w:tr w14:paraId="297BA57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7802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175555">
            <w:pPr>
              <w:jc w:val="center"/>
            </w:pPr>
            <w:r>
              <w:rPr>
                <w:rFonts w:ascii="宋体" w:hAnsi="宋体" w:eastAsia="宋体"/>
                <w:sz w:val="16"/>
              </w:rPr>
              <w:t>中共且末县纪律检查委员会本级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E1E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57546E">
            <w:pPr>
              <w:jc w:val="center"/>
            </w:pPr>
            <w:r>
              <w:rPr>
                <w:rFonts w:ascii="宋体" w:hAnsi="宋体" w:eastAsia="宋体"/>
                <w:sz w:val="16"/>
              </w:rPr>
              <w:t>中共且末县纪律检查委员会本级</w:t>
            </w:r>
          </w:p>
        </w:tc>
      </w:tr>
      <w:tr w14:paraId="0C725C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0F94D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6949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BE20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C61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C8C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9F37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22C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8B867">
            <w:pPr>
              <w:jc w:val="center"/>
            </w:pPr>
            <w:r>
              <w:rPr>
                <w:rFonts w:ascii="宋体" w:hAnsi="宋体" w:eastAsia="宋体"/>
                <w:sz w:val="16"/>
              </w:rPr>
              <w:t>得分</w:t>
            </w:r>
          </w:p>
        </w:tc>
      </w:tr>
      <w:tr w14:paraId="6A8888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45C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F147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2A042">
            <w:pPr>
              <w:jc w:val="center"/>
            </w:pPr>
            <w:r>
              <w:rPr>
                <w:rFonts w:ascii="宋体" w:hAnsi="宋体" w:eastAsia="宋体"/>
                <w:sz w:val="16"/>
              </w:rPr>
              <w:t>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1B515">
            <w:pPr>
              <w:jc w:val="center"/>
            </w:pPr>
            <w:r>
              <w:rPr>
                <w:rFonts w:ascii="宋体" w:hAnsi="宋体" w:eastAsia="宋体"/>
                <w:sz w:val="16"/>
              </w:rPr>
              <w:t>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DF491">
            <w:pPr>
              <w:jc w:val="center"/>
            </w:pPr>
            <w:r>
              <w:rPr>
                <w:rFonts w:ascii="宋体" w:hAnsi="宋体" w:eastAsia="宋体"/>
                <w:sz w:val="16"/>
              </w:rPr>
              <w:t>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5A4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AFF2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F6CC5">
            <w:pPr>
              <w:jc w:val="center"/>
            </w:pPr>
            <w:r>
              <w:rPr>
                <w:rFonts w:ascii="宋体" w:hAnsi="宋体" w:eastAsia="宋体"/>
                <w:sz w:val="16"/>
              </w:rPr>
              <w:t>10.00</w:t>
            </w:r>
          </w:p>
        </w:tc>
      </w:tr>
      <w:tr w14:paraId="01EC05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6AF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21C0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C2EE3">
            <w:pPr>
              <w:jc w:val="center"/>
            </w:pPr>
            <w:r>
              <w:rPr>
                <w:rFonts w:ascii="宋体" w:hAnsi="宋体" w:eastAsia="宋体"/>
                <w:sz w:val="16"/>
              </w:rPr>
              <w:t>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44114">
            <w:pPr>
              <w:jc w:val="center"/>
            </w:pPr>
            <w:r>
              <w:rPr>
                <w:rFonts w:ascii="宋体" w:hAnsi="宋体" w:eastAsia="宋体"/>
                <w:sz w:val="16"/>
              </w:rPr>
              <w:t>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0D13D">
            <w:pPr>
              <w:jc w:val="center"/>
            </w:pPr>
            <w:r>
              <w:rPr>
                <w:rFonts w:ascii="宋体" w:hAnsi="宋体" w:eastAsia="宋体"/>
                <w:sz w:val="16"/>
              </w:rPr>
              <w:t>2.43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4B74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CCF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C50BD">
            <w:pPr>
              <w:jc w:val="center"/>
            </w:pPr>
            <w:r>
              <w:rPr>
                <w:rFonts w:ascii="宋体" w:hAnsi="宋体" w:eastAsia="宋体"/>
                <w:sz w:val="16"/>
              </w:rPr>
              <w:t>-</w:t>
            </w:r>
          </w:p>
        </w:tc>
      </w:tr>
      <w:tr w14:paraId="52774B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75E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517D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CD1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CF4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CE5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CB7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310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63275">
            <w:pPr>
              <w:jc w:val="center"/>
            </w:pPr>
            <w:r>
              <w:rPr>
                <w:rFonts w:ascii="宋体" w:hAnsi="宋体" w:eastAsia="宋体"/>
                <w:sz w:val="16"/>
              </w:rPr>
              <w:t>-</w:t>
            </w:r>
          </w:p>
        </w:tc>
      </w:tr>
      <w:tr w14:paraId="4F69EB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447F7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95FD5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051F37">
            <w:pPr>
              <w:jc w:val="center"/>
            </w:pPr>
            <w:r>
              <w:rPr>
                <w:rFonts w:ascii="宋体" w:hAnsi="宋体" w:eastAsia="宋体"/>
                <w:sz w:val="16"/>
              </w:rPr>
              <w:t>总体目标完成情况</w:t>
            </w:r>
          </w:p>
        </w:tc>
      </w:tr>
      <w:tr w14:paraId="2DF0E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0ED9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336157">
            <w:pPr>
              <w:jc w:val="both"/>
            </w:pPr>
            <w:r>
              <w:rPr>
                <w:rFonts w:ascii="宋体" w:hAnsi="宋体" w:eastAsia="宋体"/>
                <w:sz w:val="16"/>
              </w:rPr>
              <w:t>县纪委业务用房房产证契税及维修基金2.43万元，其中3套业务用房维修金共计9769.26元，契税共计14537.61元。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78F286">
            <w:pPr>
              <w:jc w:val="both"/>
            </w:pPr>
            <w:r>
              <w:rPr>
                <w:rFonts w:ascii="宋体" w:hAnsi="宋体" w:eastAsia="宋体"/>
                <w:sz w:val="16"/>
              </w:rPr>
              <w:t>2024年办理完成纪委业务用房房产证契税及维修基金2.43万元，其中3套业务用房维修金共计9769.26元，契税共计14537.61元。</w:t>
            </w:r>
          </w:p>
        </w:tc>
      </w:tr>
      <w:tr w14:paraId="1362C7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655E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8150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D7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C61B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044E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DE8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EE9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5E0B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BDEC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AF6B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D289">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BCD2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20B4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4E0E">
            <w:pPr>
              <w:jc w:val="center"/>
            </w:pPr>
            <w:r>
              <w:rPr>
                <w:rFonts w:ascii="宋体" w:hAnsi="宋体" w:eastAsia="宋体"/>
                <w:sz w:val="16"/>
              </w:rPr>
              <w:t>偏差原因分析及改进措施</w:t>
            </w:r>
          </w:p>
        </w:tc>
      </w:tr>
      <w:tr w14:paraId="633BCF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62FB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F3C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D73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57EDA">
            <w:pPr>
              <w:jc w:val="center"/>
            </w:pPr>
            <w:r>
              <w:rPr>
                <w:rFonts w:ascii="宋体" w:hAnsi="宋体" w:eastAsia="宋体"/>
                <w:sz w:val="16"/>
              </w:rPr>
              <w:t>业务用房维修房数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D73D7">
            <w:pPr>
              <w:jc w:val="center"/>
            </w:pPr>
            <w:r>
              <w:rPr>
                <w:rFonts w:ascii="宋体" w:hAnsi="宋体" w:eastAsia="宋体"/>
                <w:sz w:val="16"/>
              </w:rPr>
              <w:t>&gt;=3套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68A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CAF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79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D2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86F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0070">
            <w:pPr>
              <w:jc w:val="center"/>
            </w:pPr>
            <w:r>
              <w:rPr>
                <w:rFonts w:ascii="宋体" w:hAnsi="宋体" w:eastAsia="宋体"/>
                <w:sz w:val="16"/>
              </w:rPr>
              <w: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CE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F6A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3B9F8">
            <w:pPr>
              <w:jc w:val="center"/>
            </w:pPr>
          </w:p>
        </w:tc>
      </w:tr>
      <w:tr w14:paraId="09121B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5705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0BA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AE9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89A9">
            <w:pPr>
              <w:jc w:val="center"/>
            </w:pPr>
            <w:r>
              <w:rPr>
                <w:rFonts w:ascii="宋体" w:hAnsi="宋体" w:eastAsia="宋体"/>
                <w:sz w:val="16"/>
              </w:rPr>
              <w:t>业务用房契税房数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EBC8E">
            <w:pPr>
              <w:jc w:val="center"/>
            </w:pPr>
            <w:r>
              <w:rPr>
                <w:rFonts w:ascii="宋体" w:hAnsi="宋体" w:eastAsia="宋体"/>
                <w:sz w:val="16"/>
              </w:rPr>
              <w:t>&gt;=3套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3C0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8A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8D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A44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F1B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2F29">
            <w:pPr>
              <w:jc w:val="center"/>
            </w:pPr>
            <w:r>
              <w:rPr>
                <w:rFonts w:ascii="宋体" w:hAnsi="宋体" w:eastAsia="宋体"/>
                <w:sz w:val="16"/>
              </w:rPr>
              <w:t>=3套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81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5CD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C0B60">
            <w:pPr>
              <w:jc w:val="center"/>
            </w:pPr>
          </w:p>
        </w:tc>
      </w:tr>
      <w:tr w14:paraId="1AC5ED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7F3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E05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F84B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5413">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92A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75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6F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9B4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66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161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829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647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85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35D47">
            <w:pPr>
              <w:jc w:val="center"/>
            </w:pPr>
          </w:p>
        </w:tc>
      </w:tr>
      <w:tr w14:paraId="360533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45C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A94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BE47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D563">
            <w:pPr>
              <w:jc w:val="center"/>
            </w:pPr>
            <w:r>
              <w:rPr>
                <w:rFonts w:ascii="宋体" w:hAnsi="宋体" w:eastAsia="宋体"/>
                <w:sz w:val="16"/>
              </w:rPr>
              <w:t>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6F5D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415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001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CC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25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7C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D0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B1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C6C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6CB2">
            <w:pPr>
              <w:jc w:val="center"/>
            </w:pPr>
          </w:p>
        </w:tc>
      </w:tr>
      <w:tr w14:paraId="53C8C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FCF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902B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A19E9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4DB05">
            <w:pPr>
              <w:jc w:val="center"/>
            </w:pPr>
            <w:r>
              <w:rPr>
                <w:rFonts w:ascii="宋体" w:hAnsi="宋体" w:eastAsia="宋体"/>
                <w:sz w:val="16"/>
              </w:rPr>
              <w:t>业务用房维修基金成本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E578">
            <w:pPr>
              <w:jc w:val="center"/>
            </w:pPr>
            <w:r>
              <w:rPr>
                <w:rFonts w:ascii="宋体" w:hAnsi="宋体" w:eastAsia="宋体"/>
                <w:sz w:val="16"/>
              </w:rPr>
              <w:t>&lt;=0.98万元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32B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C0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C50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558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E9A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4129B">
            <w:pPr>
              <w:jc w:val="center"/>
            </w:pPr>
            <w:r>
              <w:rPr>
                <w:rFonts w:ascii="宋体" w:hAnsi="宋体" w:eastAsia="宋体"/>
                <w:sz w:val="16"/>
              </w:rPr>
              <w:t>=0.98万元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53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51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EA612">
            <w:pPr>
              <w:jc w:val="center"/>
            </w:pPr>
          </w:p>
        </w:tc>
      </w:tr>
      <w:tr w14:paraId="42F336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0B1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DF4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08B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7ACDA">
            <w:pPr>
              <w:jc w:val="center"/>
            </w:pPr>
            <w:r>
              <w:rPr>
                <w:rFonts w:ascii="宋体" w:hAnsi="宋体" w:eastAsia="宋体"/>
                <w:sz w:val="16"/>
              </w:rPr>
              <w:t>业务用房契税成本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462B2">
            <w:pPr>
              <w:jc w:val="center"/>
            </w:pPr>
            <w:r>
              <w:rPr>
                <w:rFonts w:ascii="宋体" w:hAnsi="宋体" w:eastAsia="宋体"/>
                <w:sz w:val="16"/>
              </w:rPr>
              <w:t>&lt;=1.45万元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B4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477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28A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8B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18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A4AA4">
            <w:pPr>
              <w:jc w:val="center"/>
            </w:pPr>
            <w:r>
              <w:rPr>
                <w:rFonts w:ascii="宋体" w:hAnsi="宋体" w:eastAsia="宋体"/>
                <w:sz w:val="16"/>
              </w:rPr>
              <w:t>=1.45万元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D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B8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E65E2">
            <w:pPr>
              <w:jc w:val="center"/>
            </w:pPr>
          </w:p>
        </w:tc>
      </w:tr>
      <w:tr w14:paraId="362E9D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853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734B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A4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5103">
            <w:pPr>
              <w:jc w:val="center"/>
            </w:pPr>
            <w:r>
              <w:rPr>
                <w:rFonts w:ascii="宋体" w:hAnsi="宋体" w:eastAsia="宋体"/>
                <w:sz w:val="16"/>
              </w:rPr>
              <w:t>居民住房增加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650AB">
            <w:pPr>
              <w:jc w:val="center"/>
            </w:pPr>
            <w:r>
              <w:rPr>
                <w:rFonts w:ascii="宋体" w:hAnsi="宋体" w:eastAsia="宋体"/>
                <w:sz w:val="16"/>
              </w:rPr>
              <w:t>明显增加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D71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1F0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E8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29B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A23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78F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423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A8C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CA277">
            <w:pPr>
              <w:jc w:val="center"/>
            </w:pPr>
          </w:p>
        </w:tc>
      </w:tr>
      <w:tr w14:paraId="26023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C182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24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C2E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D6232">
            <w:pPr>
              <w:jc w:val="center"/>
            </w:pPr>
            <w:r>
              <w:rPr>
                <w:rFonts w:ascii="宋体" w:hAnsi="宋体" w:eastAsia="宋体"/>
                <w:sz w:val="16"/>
              </w:rPr>
              <w:t>项目单位满意度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A01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2F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B4A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B34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8D1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4530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A344">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DA3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7B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D5EE4">
            <w:pPr>
              <w:jc w:val="center"/>
            </w:pPr>
          </w:p>
        </w:tc>
      </w:tr>
      <w:tr w14:paraId="4794C2B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4C21A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E077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4AE5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86D2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0B8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2FCB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746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45B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9E6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C5B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1B25D6"/>
        </w:tc>
      </w:tr>
    </w:tbl>
    <w:p w14:paraId="5A0643AC">
      <w:r>
        <w:br w:type="page"/>
      </w:r>
    </w:p>
    <w:p w14:paraId="5478F8E9">
      <w:pPr>
        <w:spacing w:line="640" w:lineRule="exact"/>
        <w:ind w:firstLine="640"/>
        <w:jc w:val="both"/>
        <w:outlineLvl w:val="2"/>
      </w:pPr>
      <w:r>
        <w:rPr>
          <w:rFonts w:ascii="黑体" w:hAnsi="黑体" w:eastAsia="黑体"/>
          <w:sz w:val="32"/>
        </w:rPr>
        <w:t>十二、其他需说明的事项</w:t>
      </w:r>
    </w:p>
    <w:p w14:paraId="264212C8">
      <w:pPr>
        <w:spacing w:line="580" w:lineRule="exact"/>
        <w:ind w:firstLine="640"/>
        <w:jc w:val="both"/>
      </w:pPr>
      <w:r>
        <w:rPr>
          <w:rFonts w:ascii="仿宋_GB2312" w:hAnsi="仿宋_GB2312" w:eastAsia="仿宋_GB2312"/>
          <w:b w:val="0"/>
          <w:sz w:val="32"/>
        </w:rPr>
        <w:t>本部门无其他需说明的事项。</w:t>
      </w:r>
    </w:p>
    <w:p w14:paraId="47BCE14E">
      <w:r>
        <w:br w:type="page"/>
      </w:r>
    </w:p>
    <w:p w14:paraId="2A809B38">
      <w:pPr>
        <w:spacing w:line="240" w:lineRule="auto"/>
        <w:jc w:val="center"/>
        <w:outlineLvl w:val="1"/>
      </w:pPr>
      <w:r>
        <w:rPr>
          <w:rFonts w:ascii="黑体" w:hAnsi="黑体" w:eastAsia="黑体"/>
          <w:sz w:val="32"/>
        </w:rPr>
        <w:t>第三部分 专业名词解释</w:t>
      </w:r>
    </w:p>
    <w:p w14:paraId="00EAA01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83A63C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1041F5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E1F157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FAFFB1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2259CA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01C33C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6620F3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931AE6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0D4005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79091D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762E3A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6D3FD7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8B0EA8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D5B57A">
      <w:r>
        <w:br w:type="page"/>
      </w:r>
    </w:p>
    <w:p w14:paraId="05CA150F">
      <w:pPr>
        <w:spacing w:line="240" w:lineRule="auto"/>
        <w:jc w:val="center"/>
        <w:outlineLvl w:val="1"/>
      </w:pPr>
      <w:r>
        <w:rPr>
          <w:rFonts w:ascii="黑体" w:hAnsi="黑体" w:eastAsia="黑体"/>
          <w:sz w:val="32"/>
        </w:rPr>
        <w:t>第四部分 部门决算报表（见附表）</w:t>
      </w:r>
    </w:p>
    <w:p w14:paraId="39EECC4C">
      <w:pPr>
        <w:spacing w:line="240" w:lineRule="auto"/>
        <w:ind w:firstLine="640"/>
        <w:jc w:val="both"/>
      </w:pPr>
      <w:r>
        <w:rPr>
          <w:rFonts w:ascii="仿宋_GB2312" w:hAnsi="仿宋_GB2312" w:eastAsia="仿宋_GB2312"/>
          <w:b w:val="0"/>
          <w:sz w:val="32"/>
        </w:rPr>
        <w:t>一、《收入支出决算总表》</w:t>
      </w:r>
    </w:p>
    <w:p w14:paraId="7350DB00">
      <w:pPr>
        <w:spacing w:line="240" w:lineRule="auto"/>
        <w:ind w:firstLine="640"/>
        <w:jc w:val="both"/>
      </w:pPr>
      <w:r>
        <w:rPr>
          <w:rFonts w:ascii="仿宋_GB2312" w:hAnsi="仿宋_GB2312" w:eastAsia="仿宋_GB2312"/>
          <w:b w:val="0"/>
          <w:sz w:val="32"/>
        </w:rPr>
        <w:t>二、《收入决算表》</w:t>
      </w:r>
    </w:p>
    <w:p w14:paraId="7BF20FE7">
      <w:pPr>
        <w:spacing w:line="240" w:lineRule="auto"/>
        <w:ind w:firstLine="640"/>
        <w:jc w:val="both"/>
      </w:pPr>
      <w:r>
        <w:rPr>
          <w:rFonts w:ascii="仿宋_GB2312" w:hAnsi="仿宋_GB2312" w:eastAsia="仿宋_GB2312"/>
          <w:b w:val="0"/>
          <w:sz w:val="32"/>
        </w:rPr>
        <w:t>三、《支出决算表》</w:t>
      </w:r>
    </w:p>
    <w:p w14:paraId="090A8698">
      <w:pPr>
        <w:spacing w:line="240" w:lineRule="auto"/>
        <w:ind w:firstLine="640"/>
        <w:jc w:val="both"/>
      </w:pPr>
      <w:r>
        <w:rPr>
          <w:rFonts w:ascii="仿宋_GB2312" w:hAnsi="仿宋_GB2312" w:eastAsia="仿宋_GB2312"/>
          <w:b w:val="0"/>
          <w:sz w:val="32"/>
        </w:rPr>
        <w:t>四、《财政拨款收入支出决算总表》</w:t>
      </w:r>
    </w:p>
    <w:p w14:paraId="04A27C3C">
      <w:pPr>
        <w:spacing w:line="240" w:lineRule="auto"/>
        <w:ind w:firstLine="640"/>
        <w:jc w:val="both"/>
      </w:pPr>
      <w:r>
        <w:rPr>
          <w:rFonts w:ascii="仿宋_GB2312" w:hAnsi="仿宋_GB2312" w:eastAsia="仿宋_GB2312"/>
          <w:b w:val="0"/>
          <w:sz w:val="32"/>
        </w:rPr>
        <w:t>五、《一般公共预算财政拨款支出决算表》</w:t>
      </w:r>
    </w:p>
    <w:p w14:paraId="5D74C2B6">
      <w:pPr>
        <w:spacing w:line="240" w:lineRule="auto"/>
        <w:ind w:firstLine="640"/>
        <w:jc w:val="both"/>
      </w:pPr>
      <w:r>
        <w:rPr>
          <w:rFonts w:ascii="仿宋_GB2312" w:hAnsi="仿宋_GB2312" w:eastAsia="仿宋_GB2312"/>
          <w:b w:val="0"/>
          <w:sz w:val="32"/>
        </w:rPr>
        <w:t>六、《一般公共预算财政拨款基本支出决算表》</w:t>
      </w:r>
    </w:p>
    <w:p w14:paraId="0B8A7B77">
      <w:pPr>
        <w:spacing w:line="240" w:lineRule="auto"/>
        <w:ind w:firstLine="640"/>
        <w:jc w:val="both"/>
      </w:pPr>
      <w:r>
        <w:rPr>
          <w:rFonts w:ascii="仿宋_GB2312" w:hAnsi="仿宋_GB2312" w:eastAsia="仿宋_GB2312"/>
          <w:b w:val="0"/>
          <w:sz w:val="32"/>
        </w:rPr>
        <w:t>七、《政府性基金预算财政拨款收入支出决算表》</w:t>
      </w:r>
    </w:p>
    <w:p w14:paraId="7497FF19">
      <w:pPr>
        <w:spacing w:line="240" w:lineRule="auto"/>
        <w:ind w:firstLine="640"/>
        <w:jc w:val="both"/>
      </w:pPr>
      <w:r>
        <w:rPr>
          <w:rFonts w:ascii="仿宋_GB2312" w:hAnsi="仿宋_GB2312" w:eastAsia="仿宋_GB2312"/>
          <w:b w:val="0"/>
          <w:sz w:val="32"/>
        </w:rPr>
        <w:t>八、《国有资本经营预算财政拨款收入支出决算表》</w:t>
      </w:r>
    </w:p>
    <w:p w14:paraId="55BE1129">
      <w:pPr>
        <w:spacing w:line="240" w:lineRule="auto"/>
        <w:ind w:firstLine="640"/>
        <w:jc w:val="both"/>
      </w:pPr>
      <w:r>
        <w:rPr>
          <w:rFonts w:ascii="仿宋_GB2312" w:hAnsi="仿宋_GB2312" w:eastAsia="仿宋_GB2312"/>
          <w:b w:val="0"/>
          <w:sz w:val="32"/>
        </w:rPr>
        <w:t>九、《财政拨款“三公”经费支出决算表》</w:t>
      </w:r>
    </w:p>
    <w:p w14:paraId="3E609B78">
      <w:pPr>
        <w:spacing w:line="240" w:lineRule="auto"/>
        <w:ind w:firstLine="640"/>
        <w:jc w:val="both"/>
      </w:pPr>
    </w:p>
    <w:p w14:paraId="26223079">
      <w:pPr>
        <w:spacing w:line="240" w:lineRule="auto"/>
        <w:ind w:firstLine="640"/>
        <w:jc w:val="both"/>
      </w:pPr>
    </w:p>
    <w:p w14:paraId="01FAE713">
      <w:pPr>
        <w:spacing w:line="240" w:lineRule="auto"/>
        <w:ind w:firstLine="640"/>
        <w:jc w:val="both"/>
      </w:pPr>
    </w:p>
    <w:p w14:paraId="75BF3B99">
      <w:pPr>
        <w:spacing w:line="240" w:lineRule="auto"/>
        <w:ind w:firstLine="640"/>
        <w:jc w:val="both"/>
      </w:pPr>
    </w:p>
    <w:p w14:paraId="2B0470A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1A5B02"/>
    <w:rsid w:val="25275618"/>
    <w:rsid w:val="27CE017C"/>
    <w:rsid w:val="27CF2642"/>
    <w:rsid w:val="282459E2"/>
    <w:rsid w:val="29116777"/>
    <w:rsid w:val="2A053397"/>
    <w:rsid w:val="2A444FB1"/>
    <w:rsid w:val="2A6064E2"/>
    <w:rsid w:val="2C1965E9"/>
    <w:rsid w:val="2D1136DF"/>
    <w:rsid w:val="2DAE0E44"/>
    <w:rsid w:val="2DF95637"/>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962083"/>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5951</Words>
  <Characters>6730</Characters>
  <Lines>0</Lines>
  <Paragraphs>0</Paragraphs>
  <TotalTime>4</TotalTime>
  <ScaleCrop>false</ScaleCrop>
  <LinksUpToDate>false</LinksUpToDate>
  <CharactersWithSpaces>6738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2025-09-26T08:51:58Z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