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1DD2B1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中共且末县委员会宣传部（部门）2024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1D57DE6">
      <w:r>
        <w:br w:type="page"/>
      </w:r>
    </w:p>
    <w:p w14:paraId="1BC3ACED">
      <w:pPr>
        <w:spacing w:line="640" w:lineRule="exact"/>
        <w:jc w:val="center"/>
        <w:outlineLvl w:val="1"/>
      </w:pPr>
      <w:r>
        <w:rPr>
          <w:rFonts w:ascii="黑体" w:hAnsi="黑体" w:eastAsia="黑体"/>
          <w:sz w:val="32"/>
        </w:rPr>
        <w:t>第一部分 部门概况</w:t>
      </w:r>
    </w:p>
    <w:p w14:paraId="794F387F">
      <w:pPr>
        <w:spacing w:line="640" w:lineRule="exact"/>
        <w:ind w:firstLine="640"/>
        <w:jc w:val="both"/>
        <w:outlineLvl w:val="2"/>
      </w:pPr>
      <w:r>
        <w:rPr>
          <w:rFonts w:ascii="黑体" w:hAnsi="黑体" w:eastAsia="黑体"/>
          <w:sz w:val="32"/>
        </w:rPr>
        <w:t>一、主要职能</w:t>
      </w:r>
    </w:p>
    <w:p w14:paraId="31B6791F">
      <w:pPr>
        <w:spacing w:line="580" w:lineRule="exact"/>
        <w:ind w:firstLine="640"/>
        <w:jc w:val="both"/>
      </w:pPr>
      <w:r>
        <w:rPr>
          <w:rFonts w:ascii="仿宋_GB2312" w:hAnsi="仿宋_GB2312" w:eastAsia="仿宋_GB2312"/>
          <w:sz w:val="32"/>
        </w:rPr>
        <w:t>负责全县宣传思想文化工作和全县中心组学习的指导督查工作；负责全县意识形态领域工作；负责文化市场的管理；指导全县精神文明建设活动，组织实施对外宣传工作，组织、协调对外宣传报道；做好宣传信息收集和报送等工作。</w:t>
      </w:r>
    </w:p>
    <w:p w14:paraId="0411BEC5">
      <w:pPr>
        <w:spacing w:line="640" w:lineRule="exact"/>
        <w:ind w:firstLine="640"/>
        <w:jc w:val="both"/>
        <w:outlineLvl w:val="2"/>
      </w:pPr>
      <w:r>
        <w:rPr>
          <w:rFonts w:ascii="黑体" w:hAnsi="黑体" w:eastAsia="黑体"/>
          <w:sz w:val="32"/>
        </w:rPr>
        <w:t>二、机构设置及人员情况</w:t>
      </w:r>
    </w:p>
    <w:p w14:paraId="6017A20F">
      <w:pPr>
        <w:spacing w:line="580" w:lineRule="exact"/>
        <w:ind w:firstLine="640"/>
        <w:jc w:val="both"/>
      </w:pPr>
      <w:r>
        <w:rPr>
          <w:rFonts w:ascii="仿宋_GB2312" w:hAnsi="仿宋_GB2312" w:eastAsia="仿宋_GB2312"/>
          <w:sz w:val="32"/>
        </w:rPr>
        <w:t>中共且末县委员会宣传部（部门）2024年度，实有人数62人，其中：在职人员34人，减少4人；离休人员0人，增加0人；退休人员28人,增加3人。</w:t>
      </w:r>
    </w:p>
    <w:p w14:paraId="5635085D">
      <w:pPr>
        <w:spacing w:line="580" w:lineRule="exact"/>
        <w:ind w:firstLine="640"/>
        <w:jc w:val="both"/>
      </w:pPr>
      <w:r>
        <w:rPr>
          <w:rFonts w:ascii="仿宋_GB2312" w:hAnsi="仿宋_GB2312" w:eastAsia="仿宋_GB2312"/>
          <w:sz w:val="32"/>
        </w:rPr>
        <w:t>从部门决算单位构成看，中共且末县委员会宣传部（部门）部门决算包括：中共且末县委员会宣传部（本级）决算及所属单位决算。</w:t>
      </w:r>
    </w:p>
    <w:p w14:paraId="5A6224A1">
      <w:pPr>
        <w:spacing w:line="580" w:lineRule="exact"/>
        <w:ind w:firstLine="640"/>
        <w:jc w:val="both"/>
      </w:pPr>
      <w:r>
        <w:rPr>
          <w:rFonts w:ascii="仿宋_GB2312" w:hAnsi="仿宋_GB2312" w:eastAsia="仿宋_GB2312"/>
          <w:sz w:val="32"/>
        </w:rPr>
        <w:t>中共且末县委员会宣传部本级下设4个科室，分别是：且末县委外宣办、且末县社会科学界联合会、且末县宣传文化产品鉴定中心、且末县新时代文明实践促进中心。</w:t>
      </w:r>
    </w:p>
    <w:p w14:paraId="2686E09B">
      <w:pPr>
        <w:spacing w:line="580" w:lineRule="exact"/>
        <w:ind w:firstLine="640"/>
        <w:jc w:val="both"/>
      </w:pPr>
      <w:r>
        <w:rPr>
          <w:rFonts w:ascii="仿宋_GB2312" w:hAnsi="仿宋_GB2312" w:eastAsia="仿宋_GB2312"/>
          <w:sz w:val="32"/>
        </w:rPr>
        <w:t>纳入中共且末县委员会宣传部（部门）2024年度部门决算编制范围的下属预算单位包括：</w:t>
      </w:r>
    </w:p>
    <w:p w14:paraId="5EB5E7EB">
      <w:pPr>
        <w:spacing w:line="580" w:lineRule="exact"/>
        <w:ind w:firstLine="640"/>
        <w:jc w:val="both"/>
      </w:pPr>
      <w:r>
        <w:rPr>
          <w:rFonts w:ascii="仿宋_GB2312" w:hAnsi="仿宋_GB2312" w:eastAsia="仿宋_GB2312"/>
          <w:sz w:val="32"/>
        </w:rPr>
        <w:t>1. 中共且末县委员会宣传部本级</w:t>
      </w:r>
    </w:p>
    <w:p w14:paraId="5E6F71B8">
      <w:pPr>
        <w:spacing w:line="580" w:lineRule="exact"/>
        <w:ind w:firstLine="640"/>
        <w:jc w:val="both"/>
      </w:pPr>
      <w:r>
        <w:rPr>
          <w:rFonts w:ascii="仿宋_GB2312" w:hAnsi="仿宋_GB2312" w:eastAsia="仿宋_GB2312"/>
          <w:sz w:val="32"/>
        </w:rPr>
        <w:t>2. 且末县融媒体中心</w:t>
      </w:r>
    </w:p>
    <w:p w14:paraId="5A4823F9">
      <w:r>
        <w:br w:type="page"/>
      </w:r>
    </w:p>
    <w:p w14:paraId="0AF0A029">
      <w:pPr>
        <w:spacing w:line="240" w:lineRule="auto"/>
        <w:jc w:val="center"/>
        <w:outlineLvl w:val="1"/>
      </w:pPr>
      <w:r>
        <w:rPr>
          <w:rFonts w:ascii="黑体" w:hAnsi="黑体" w:eastAsia="黑体"/>
          <w:sz w:val="32"/>
        </w:rPr>
        <w:t>第二部分 部门决算情况说明</w:t>
      </w:r>
    </w:p>
    <w:p w14:paraId="74B32897">
      <w:pPr>
        <w:spacing w:line="640" w:lineRule="exact"/>
        <w:ind w:firstLine="640"/>
        <w:jc w:val="both"/>
        <w:outlineLvl w:val="2"/>
      </w:pPr>
      <w:r>
        <w:rPr>
          <w:rFonts w:ascii="黑体" w:hAnsi="黑体" w:eastAsia="黑体"/>
          <w:sz w:val="32"/>
        </w:rPr>
        <w:t>一、收入支出决算总体情况说明</w:t>
      </w:r>
    </w:p>
    <w:p w14:paraId="3B11562D">
      <w:pPr>
        <w:spacing w:line="580" w:lineRule="exact"/>
        <w:ind w:firstLine="640"/>
        <w:jc w:val="both"/>
      </w:pPr>
      <w:r>
        <w:rPr>
          <w:rFonts w:ascii="仿宋_GB2312" w:hAnsi="仿宋_GB2312" w:eastAsia="仿宋_GB2312"/>
          <w:b/>
          <w:sz w:val="32"/>
        </w:rPr>
        <w:t>2024年度收入总计777.86万元，</w:t>
      </w:r>
      <w:r>
        <w:rPr>
          <w:rFonts w:ascii="仿宋_GB2312" w:hAnsi="仿宋_GB2312" w:eastAsia="仿宋_GB2312"/>
          <w:b w:val="0"/>
          <w:sz w:val="32"/>
        </w:rPr>
        <w:t>其中：本年收入合计777.86万元，使用非财政拨款结余（含专用结余）0.00万元，年初结转和结余0.00万元。</w:t>
      </w:r>
    </w:p>
    <w:p w14:paraId="6A08B4C5">
      <w:pPr>
        <w:spacing w:line="580" w:lineRule="exact"/>
        <w:ind w:firstLine="640"/>
        <w:jc w:val="both"/>
      </w:pPr>
      <w:r>
        <w:rPr>
          <w:rFonts w:ascii="仿宋_GB2312" w:hAnsi="仿宋_GB2312" w:eastAsia="仿宋_GB2312"/>
          <w:b/>
          <w:sz w:val="32"/>
        </w:rPr>
        <w:t>2024年度支出总计777.86万元，</w:t>
      </w:r>
      <w:r>
        <w:rPr>
          <w:rFonts w:ascii="仿宋_GB2312" w:hAnsi="仿宋_GB2312" w:eastAsia="仿宋_GB2312"/>
          <w:b w:val="0"/>
          <w:sz w:val="32"/>
        </w:rPr>
        <w:t>其中：本年支出合计777.86万元，结余分配0.00万元，年末结转和结余0.00万元。</w:t>
      </w:r>
    </w:p>
    <w:p w14:paraId="2D578D4B">
      <w:pPr>
        <w:spacing w:line="580" w:lineRule="exact"/>
        <w:ind w:firstLine="640"/>
        <w:jc w:val="both"/>
      </w:pPr>
      <w:r>
        <w:rPr>
          <w:rFonts w:ascii="仿宋_GB2312" w:hAnsi="仿宋_GB2312" w:eastAsia="仿宋_GB2312"/>
          <w:b w:val="0"/>
          <w:sz w:val="32"/>
        </w:rPr>
        <w:t>收入支出总体与上年相比，减少79.12万元，下降9.23%，主要原因是：一是县级配套项目、外宣经费、文明城市创建经费减少；二是宣传部本级及融媒体中心上年补发人员绩效，本年无补发部分。</w:t>
      </w:r>
    </w:p>
    <w:p w14:paraId="3E43CE8A">
      <w:pPr>
        <w:spacing w:line="640" w:lineRule="exact"/>
        <w:ind w:firstLine="640"/>
        <w:jc w:val="both"/>
        <w:outlineLvl w:val="2"/>
      </w:pPr>
      <w:r>
        <w:rPr>
          <w:rFonts w:ascii="黑体" w:hAnsi="黑体" w:eastAsia="黑体"/>
          <w:sz w:val="32"/>
        </w:rPr>
        <w:t>二、收入决算情况说明</w:t>
      </w:r>
    </w:p>
    <w:p w14:paraId="29CE80D2">
      <w:pPr>
        <w:spacing w:line="580" w:lineRule="exact"/>
        <w:ind w:firstLine="640"/>
        <w:jc w:val="both"/>
      </w:pPr>
      <w:r>
        <w:rPr>
          <w:rFonts w:ascii="仿宋_GB2312" w:hAnsi="仿宋_GB2312" w:eastAsia="仿宋_GB2312"/>
          <w:b/>
          <w:sz w:val="32"/>
        </w:rPr>
        <w:t>本年收入777.86万元，</w:t>
      </w:r>
      <w:r>
        <w:rPr>
          <w:rFonts w:ascii="仿宋_GB2312" w:hAnsi="仿宋_GB2312" w:eastAsia="仿宋_GB2312"/>
          <w:b w:val="0"/>
          <w:sz w:val="32"/>
        </w:rPr>
        <w:t>其中：财政拨款收入777.64万元，占99.97%；上级补助收入0.00万元，占0.00%；事业收入0.00万元，占0.00%；经营收入0.00万元，占0.00%；附属单位上缴收入0.00万元，占0.00%；其他收入0.22万元，占0.03%。</w:t>
      </w:r>
    </w:p>
    <w:p w14:paraId="441DD183">
      <w:pPr>
        <w:spacing w:line="640" w:lineRule="exact"/>
        <w:ind w:firstLine="640"/>
        <w:jc w:val="both"/>
        <w:outlineLvl w:val="2"/>
      </w:pPr>
      <w:r>
        <w:rPr>
          <w:rFonts w:ascii="黑体" w:hAnsi="黑体" w:eastAsia="黑体"/>
          <w:sz w:val="32"/>
        </w:rPr>
        <w:t>三、支出决算情况说明</w:t>
      </w:r>
    </w:p>
    <w:p w14:paraId="76BF1442">
      <w:pPr>
        <w:spacing w:line="580" w:lineRule="exact"/>
        <w:ind w:firstLine="640"/>
        <w:jc w:val="both"/>
      </w:pPr>
      <w:r>
        <w:rPr>
          <w:rFonts w:ascii="仿宋_GB2312" w:hAnsi="仿宋_GB2312" w:eastAsia="仿宋_GB2312"/>
          <w:b/>
          <w:sz w:val="32"/>
        </w:rPr>
        <w:t>本年支出777.86万元，</w:t>
      </w:r>
      <w:r>
        <w:rPr>
          <w:rFonts w:ascii="仿宋_GB2312" w:hAnsi="仿宋_GB2312" w:eastAsia="仿宋_GB2312"/>
          <w:b w:val="0"/>
          <w:sz w:val="32"/>
        </w:rPr>
        <w:t>其中：基本支出679.88万元，占87.40%；项目支出97.98万元，占12.60%；上缴上级支出0.00万元，占0.00%；经营支出0.00万元，占0.00%；对附属单位补助支出0.00万元，占0.00%。</w:t>
      </w:r>
    </w:p>
    <w:p w14:paraId="04661914">
      <w:pPr>
        <w:spacing w:line="640" w:lineRule="exact"/>
        <w:ind w:firstLine="640"/>
        <w:jc w:val="both"/>
        <w:outlineLvl w:val="2"/>
      </w:pPr>
      <w:r>
        <w:rPr>
          <w:rFonts w:ascii="黑体" w:hAnsi="黑体" w:eastAsia="黑体"/>
          <w:sz w:val="32"/>
        </w:rPr>
        <w:t>四、财政拨款收入支出决算总体情况说明</w:t>
      </w:r>
    </w:p>
    <w:p w14:paraId="51A3B9E4">
      <w:pPr>
        <w:spacing w:line="580" w:lineRule="exact"/>
        <w:ind w:firstLine="640"/>
        <w:jc w:val="both"/>
      </w:pPr>
      <w:r>
        <w:rPr>
          <w:rFonts w:ascii="仿宋_GB2312" w:hAnsi="仿宋_GB2312" w:eastAsia="仿宋_GB2312"/>
          <w:b/>
          <w:sz w:val="32"/>
        </w:rPr>
        <w:t>2024年度财政拨款收入总计777.64万元，</w:t>
      </w:r>
      <w:r>
        <w:rPr>
          <w:rFonts w:ascii="仿宋_GB2312" w:hAnsi="仿宋_GB2312" w:eastAsia="仿宋_GB2312"/>
          <w:b w:val="0"/>
          <w:sz w:val="32"/>
        </w:rPr>
        <w:t>其中：年初财政拨款结转和结余0.00万元，本年财政拨款收入777.64万元。</w:t>
      </w:r>
      <w:r>
        <w:rPr>
          <w:rFonts w:ascii="仿宋_GB2312" w:hAnsi="仿宋_GB2312" w:eastAsia="仿宋_GB2312"/>
          <w:b/>
          <w:sz w:val="32"/>
        </w:rPr>
        <w:t>财政拨款支出总计777.64万元，</w:t>
      </w:r>
      <w:r>
        <w:rPr>
          <w:rFonts w:ascii="仿宋_GB2312" w:hAnsi="仿宋_GB2312" w:eastAsia="仿宋_GB2312"/>
          <w:b w:val="0"/>
          <w:sz w:val="32"/>
        </w:rPr>
        <w:t>其中：年末财政拨款结转和结余0.00万元，本年财政拨款支出777.64万元。</w:t>
      </w:r>
    </w:p>
    <w:p w14:paraId="7EFD2E0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减少79.34万元，下降9.26%，主要原因是：一是县级配套项目、外宣经费、文明城市创建经费减少；二是宣传部本级及融媒体中心上年补发人员绩效，本年无补发部分。</w:t>
      </w:r>
      <w:r>
        <w:rPr>
          <w:rFonts w:ascii="仿宋_GB2312" w:hAnsi="仿宋_GB2312" w:eastAsia="仿宋_GB2312"/>
          <w:b/>
          <w:sz w:val="32"/>
        </w:rPr>
        <w:t>与年初预算相比，</w:t>
      </w:r>
      <w:r>
        <w:rPr>
          <w:rFonts w:ascii="仿宋_GB2312" w:hAnsi="仿宋_GB2312" w:eastAsia="仿宋_GB2312"/>
          <w:b w:val="0"/>
          <w:sz w:val="32"/>
        </w:rPr>
        <w:t>年初预算数829.09万元，决算数777.64万元，预决算差异率-6.21%，主要原因是：本年在职人员减少，年中调减人员经费，导致预决算存在差异。</w:t>
      </w:r>
    </w:p>
    <w:p w14:paraId="4B8E3720">
      <w:pPr>
        <w:spacing w:line="640" w:lineRule="exact"/>
        <w:ind w:firstLine="640"/>
        <w:jc w:val="both"/>
        <w:outlineLvl w:val="2"/>
      </w:pPr>
      <w:r>
        <w:rPr>
          <w:rFonts w:ascii="黑体" w:hAnsi="黑体" w:eastAsia="黑体"/>
          <w:sz w:val="32"/>
        </w:rPr>
        <w:t>五、一般公共预算财政拨款支出决算情况说明</w:t>
      </w:r>
    </w:p>
    <w:p w14:paraId="01D88F1F">
      <w:pPr>
        <w:spacing w:line="640" w:lineRule="exact"/>
        <w:ind w:firstLine="640"/>
        <w:jc w:val="both"/>
        <w:outlineLvl w:val="3"/>
      </w:pPr>
      <w:r>
        <w:rPr>
          <w:rFonts w:ascii="楷体_GB2312" w:hAnsi="楷体_GB2312" w:eastAsia="楷体_GB2312"/>
          <w:b/>
          <w:sz w:val="32"/>
        </w:rPr>
        <w:t>（一）一般公共预算财政拨款支出决算总体情况</w:t>
      </w:r>
    </w:p>
    <w:p w14:paraId="1E7493FC">
      <w:pPr>
        <w:spacing w:line="580" w:lineRule="exact"/>
        <w:ind w:firstLine="640"/>
        <w:jc w:val="both"/>
      </w:pPr>
      <w:r>
        <w:rPr>
          <w:rFonts w:ascii="仿宋_GB2312" w:hAnsi="仿宋_GB2312" w:eastAsia="仿宋_GB2312"/>
          <w:b/>
          <w:sz w:val="32"/>
        </w:rPr>
        <w:t>2024年度一般公共预算财政拨款支出777.64万元，</w:t>
      </w:r>
      <w:r>
        <w:rPr>
          <w:rFonts w:ascii="仿宋_GB2312" w:hAnsi="仿宋_GB2312" w:eastAsia="仿宋_GB2312"/>
          <w:b w:val="0"/>
          <w:sz w:val="32"/>
        </w:rPr>
        <w:t>占本年支出合计的99.97%。</w:t>
      </w:r>
      <w:r>
        <w:rPr>
          <w:rFonts w:ascii="仿宋_GB2312" w:hAnsi="仿宋_GB2312" w:eastAsia="仿宋_GB2312"/>
          <w:b/>
          <w:sz w:val="32"/>
        </w:rPr>
        <w:t>与上年相比，</w:t>
      </w:r>
      <w:r>
        <w:rPr>
          <w:rFonts w:ascii="仿宋_GB2312" w:hAnsi="仿宋_GB2312" w:eastAsia="仿宋_GB2312"/>
          <w:b w:val="0"/>
          <w:sz w:val="32"/>
        </w:rPr>
        <w:t>减少79.34万元，下降9.26%，主要原因是：一是县级配套项目、外宣经费、文明城市创建经费减少；二是宣传部本级及融媒体中心上年补发人员绩效，本年无补发部分。</w:t>
      </w:r>
      <w:r>
        <w:rPr>
          <w:rFonts w:ascii="仿宋_GB2312" w:hAnsi="仿宋_GB2312" w:eastAsia="仿宋_GB2312"/>
          <w:b/>
          <w:sz w:val="32"/>
        </w:rPr>
        <w:t>与年初预算相比,</w:t>
      </w:r>
      <w:r>
        <w:rPr>
          <w:rFonts w:ascii="仿宋_GB2312" w:hAnsi="仿宋_GB2312" w:eastAsia="仿宋_GB2312"/>
          <w:b w:val="0"/>
          <w:sz w:val="32"/>
        </w:rPr>
        <w:t>年初预算数829.09万元，决算数777.64万元，预决算差异率-6.21%，主要原因是：本年在职人员减少，年中调减人员经费，导致预决算存在差异。</w:t>
      </w:r>
    </w:p>
    <w:p w14:paraId="65E464AE">
      <w:pPr>
        <w:spacing w:line="640" w:lineRule="exact"/>
        <w:ind w:firstLine="640"/>
        <w:jc w:val="both"/>
        <w:outlineLvl w:val="3"/>
      </w:pPr>
      <w:r>
        <w:rPr>
          <w:rFonts w:ascii="楷体_GB2312" w:hAnsi="楷体_GB2312" w:eastAsia="楷体_GB2312"/>
          <w:b/>
          <w:sz w:val="32"/>
        </w:rPr>
        <w:t>（二）一般公共预算财政拨款支出决算结构情况</w:t>
      </w:r>
    </w:p>
    <w:p w14:paraId="36F9BEDF">
      <w:pPr>
        <w:spacing w:line="580" w:lineRule="exact"/>
        <w:ind w:firstLine="640"/>
        <w:jc w:val="both"/>
      </w:pPr>
      <w:r>
        <w:rPr>
          <w:rFonts w:ascii="仿宋_GB2312" w:hAnsi="仿宋_GB2312" w:eastAsia="仿宋_GB2312"/>
          <w:b w:val="0"/>
          <w:sz w:val="32"/>
        </w:rPr>
        <w:t>1.一般公共服务支出(类)145.27万元,占18.68%。</w:t>
      </w:r>
    </w:p>
    <w:p w14:paraId="259DA62C">
      <w:pPr>
        <w:spacing w:line="580" w:lineRule="exact"/>
        <w:ind w:firstLine="640"/>
        <w:jc w:val="both"/>
      </w:pPr>
      <w:r>
        <w:rPr>
          <w:rFonts w:ascii="仿宋_GB2312" w:hAnsi="仿宋_GB2312" w:eastAsia="仿宋_GB2312"/>
          <w:b w:val="0"/>
          <w:sz w:val="32"/>
        </w:rPr>
        <w:t>2.文化旅游体育与传媒支出(类)437.43万元,占56.25%。</w:t>
      </w:r>
    </w:p>
    <w:p w14:paraId="03B8F729">
      <w:pPr>
        <w:spacing w:line="580" w:lineRule="exact"/>
        <w:ind w:firstLine="640"/>
        <w:jc w:val="both"/>
      </w:pPr>
      <w:r>
        <w:rPr>
          <w:rFonts w:ascii="仿宋_GB2312" w:hAnsi="仿宋_GB2312" w:eastAsia="仿宋_GB2312"/>
          <w:b w:val="0"/>
          <w:sz w:val="32"/>
        </w:rPr>
        <w:t>3.社会保障和就业支出(类)109.88万元,占14.13%。</w:t>
      </w:r>
    </w:p>
    <w:p w14:paraId="33C270A8">
      <w:pPr>
        <w:spacing w:line="580" w:lineRule="exact"/>
        <w:ind w:firstLine="640"/>
        <w:jc w:val="both"/>
      </w:pPr>
      <w:r>
        <w:rPr>
          <w:rFonts w:ascii="仿宋_GB2312" w:hAnsi="仿宋_GB2312" w:eastAsia="仿宋_GB2312"/>
          <w:b w:val="0"/>
          <w:sz w:val="32"/>
        </w:rPr>
        <w:t>4.卫生健康支出(类)32.38万元,占4.16%。</w:t>
      </w:r>
    </w:p>
    <w:p w14:paraId="08068359">
      <w:pPr>
        <w:spacing w:line="580" w:lineRule="exact"/>
        <w:ind w:firstLine="640"/>
        <w:jc w:val="both"/>
      </w:pPr>
      <w:r>
        <w:rPr>
          <w:rFonts w:ascii="仿宋_GB2312" w:hAnsi="仿宋_GB2312" w:eastAsia="仿宋_GB2312"/>
          <w:b w:val="0"/>
          <w:sz w:val="32"/>
        </w:rPr>
        <w:t>5.住房保障支出(类)52.68万元,占6.77%。</w:t>
      </w:r>
    </w:p>
    <w:p w14:paraId="26C18C43">
      <w:pPr>
        <w:spacing w:line="640" w:lineRule="exact"/>
        <w:ind w:firstLine="640"/>
        <w:jc w:val="both"/>
        <w:outlineLvl w:val="3"/>
      </w:pPr>
      <w:r>
        <w:rPr>
          <w:rFonts w:ascii="楷体_GB2312" w:hAnsi="楷体_GB2312" w:eastAsia="楷体_GB2312"/>
          <w:b/>
          <w:sz w:val="32"/>
        </w:rPr>
        <w:t>（三）一般公共预算财政拨款支出决算具体情况</w:t>
      </w:r>
    </w:p>
    <w:p w14:paraId="0D2CFEAE">
      <w:pPr>
        <w:spacing w:line="580" w:lineRule="exact"/>
        <w:ind w:firstLine="640"/>
        <w:jc w:val="both"/>
      </w:pPr>
      <w:r>
        <w:rPr>
          <w:rFonts w:ascii="仿宋_GB2312" w:hAnsi="仿宋_GB2312" w:eastAsia="仿宋_GB2312"/>
          <w:b w:val="0"/>
          <w:sz w:val="32"/>
        </w:rPr>
        <w:t>1.一般公共服务支出(类)宣传事务(款)行政运行(项):支出决算数为145.27万元，比上年决算减少25.67万元，下降15.02%,主要原因是：本年宣传部本级无补发工资、外宣经费较上年减少。</w:t>
      </w:r>
    </w:p>
    <w:p w14:paraId="0674256F">
      <w:pPr>
        <w:spacing w:line="580" w:lineRule="exact"/>
        <w:ind w:firstLine="640"/>
        <w:jc w:val="both"/>
      </w:pPr>
      <w:r>
        <w:rPr>
          <w:rFonts w:ascii="仿宋_GB2312" w:hAnsi="仿宋_GB2312" w:eastAsia="仿宋_GB2312"/>
          <w:b w:val="0"/>
          <w:sz w:val="32"/>
        </w:rPr>
        <w:t>2.一般公共服务支出(类)宣传事务(款)其他宣传事务支出(项):支出决算数为0.00万元，比上年决算减少10.00万元，下降100.00%,主要原因是：本年减少县级配套项目资金、文明城市创建经费。</w:t>
      </w:r>
    </w:p>
    <w:p w14:paraId="3D1C325C">
      <w:pPr>
        <w:spacing w:line="580" w:lineRule="exact"/>
        <w:ind w:firstLine="640"/>
        <w:jc w:val="both"/>
      </w:pPr>
      <w:r>
        <w:rPr>
          <w:rFonts w:ascii="仿宋_GB2312" w:hAnsi="仿宋_GB2312" w:eastAsia="仿宋_GB2312"/>
          <w:b w:val="0"/>
          <w:sz w:val="32"/>
        </w:rPr>
        <w:t>3.文化旅游体育与传媒支出(类)广播电视(款)广播电视事务(项):支出决算数为339.45万元，比上年决算减少113.59万元，下降25.07%,主要原因是：一是本年融媒体中心在职人员减少，相关人员经费较上年减少；二是融媒体中心上年补发人员绩效，本年无补发部分。</w:t>
      </w:r>
    </w:p>
    <w:p w14:paraId="0C2FC7FE">
      <w:pPr>
        <w:spacing w:line="580" w:lineRule="exact"/>
        <w:ind w:firstLine="640"/>
        <w:jc w:val="both"/>
      </w:pPr>
      <w:r>
        <w:rPr>
          <w:rFonts w:ascii="仿宋_GB2312" w:hAnsi="仿宋_GB2312" w:eastAsia="仿宋_GB2312"/>
          <w:b w:val="0"/>
          <w:sz w:val="32"/>
        </w:rPr>
        <w:t>4.文化旅游体育与传媒支出(类)广播电视(款)其他广播电视支出(项):支出决算数为37.41万元，比上年决算增加5.09万元，增长15.75%,主要原因是：本年增加2024年自治区广播电视节目无线覆盖运行维护经费等项目经费，导致相关经费增加。</w:t>
      </w:r>
    </w:p>
    <w:p w14:paraId="058BBC2B">
      <w:pPr>
        <w:spacing w:line="580" w:lineRule="exact"/>
        <w:ind w:firstLine="640"/>
        <w:jc w:val="both"/>
      </w:pPr>
      <w:r>
        <w:rPr>
          <w:rFonts w:ascii="仿宋_GB2312" w:hAnsi="仿宋_GB2312" w:eastAsia="仿宋_GB2312"/>
          <w:b w:val="0"/>
          <w:sz w:val="32"/>
        </w:rPr>
        <w:t>5.文化旅游体育与传媒支出(类)其他文化旅游体育与传媒支出(款)其他文化旅游体育与传媒支出(项):支出决算数为60.57万元，比上年决算增加49.57万元，增长450.64%,主要原因是：本年增加2024年少数民族地区和边疆地区文化安全补助资金、2024年中央补助地方公共文化服务体系建设补助资金、2023年少数民族地区和边疆地区文化安全补助资金（地县台站运行维护经费）等项目经费，导致相关经费增加。</w:t>
      </w:r>
    </w:p>
    <w:p w14:paraId="5BC51122">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6.社会保障和就业支出(类)行政事业单位养老支出(款)行政单位离退休(项):支出决算数为2.33万元，比上年决算增加1.32万元，增长130.69%,主要原因是：本年增加退休人员基础绩效奖，退休费支出增加。</w:t>
      </w:r>
    </w:p>
    <w:p w14:paraId="0D0A17E4">
      <w:pPr>
        <w:spacing w:line="580" w:lineRule="exact"/>
        <w:ind w:firstLine="640"/>
        <w:jc w:val="both"/>
      </w:pPr>
      <w:r>
        <w:rPr>
          <w:rFonts w:ascii="仿宋_GB2312" w:hAnsi="仿宋_GB2312" w:eastAsia="仿宋_GB2312"/>
          <w:b w:val="0"/>
          <w:sz w:val="32"/>
        </w:rPr>
        <w:t>7.社会保障和就业支出(类)行政事业单位养老支出(款)事业单位离退休(项):支出决算数为17.65万元，比上年决算增加4.76万元，增长36.93%,主要原因是：本年退休人员增加，退休费支出增加。</w:t>
      </w:r>
    </w:p>
    <w:p w14:paraId="565D7640">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65.80万元，比上年决算增加2.56万元，增长4.05%,主要原因是：本年在职人员工资基数调增，养老缴费基数上涨，相应支出增加。</w:t>
      </w:r>
    </w:p>
    <w:p w14:paraId="6FBC551D">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9.社会保障和就业支出(类)行政事业单位养老支出(款)机关事业单位职业年金缴费支出(项):支出决算数为24.11万元，比上年决算增加7.14万元，增长42.07%,主要原因是：本年新增退休人员，职业年金缴费支出增加。</w:t>
      </w:r>
    </w:p>
    <w:p w14:paraId="0591928F">
      <w:pPr>
        <w:spacing w:line="580" w:lineRule="exact"/>
        <w:ind w:firstLine="640"/>
        <w:jc w:val="both"/>
      </w:pPr>
      <w:r>
        <w:rPr>
          <w:rFonts w:ascii="仿宋_GB2312" w:hAnsi="仿宋_GB2312" w:eastAsia="仿宋_GB2312"/>
          <w:b w:val="0"/>
          <w:sz w:val="32"/>
        </w:rPr>
        <w:t>10.卫生健康支出(类)行政事业单位医疗(款)行政单位医疗(项):支出决算数为9.00万元，比上年决算增加1.29万元，增长16.73%,主要原因是：本年在职人员工资基数调增，医疗缴费基数上涨，相应支出增加。</w:t>
      </w:r>
    </w:p>
    <w:p w14:paraId="111C432E">
      <w:pPr>
        <w:spacing w:line="580" w:lineRule="exact"/>
        <w:ind w:firstLine="640"/>
        <w:jc w:val="both"/>
      </w:pPr>
      <w:r>
        <w:rPr>
          <w:rFonts w:ascii="仿宋_GB2312" w:hAnsi="仿宋_GB2312" w:eastAsia="仿宋_GB2312"/>
          <w:b w:val="0"/>
          <w:sz w:val="32"/>
        </w:rPr>
        <w:t>11.卫生健康支出(类)行政事业单位医疗(款)事业单位医疗(项):支出决算数为20.74万元，比上年决算减少1.14万元，下降5.21%,主要原因是：本年在职人员减少，事业单位医疗较上年减少。</w:t>
      </w:r>
    </w:p>
    <w:p w14:paraId="1A83C162">
      <w:pPr>
        <w:spacing w:line="580" w:lineRule="exact"/>
        <w:ind w:firstLine="640"/>
        <w:jc w:val="both"/>
      </w:pPr>
      <w:r>
        <w:rPr>
          <w:rFonts w:ascii="仿宋_GB2312" w:hAnsi="仿宋_GB2312" w:eastAsia="仿宋_GB2312"/>
          <w:b w:val="0"/>
          <w:sz w:val="32"/>
        </w:rPr>
        <w:t>12.卫生健康支出(类)行政事业单位医疗(款)公务员医疗补助(项):支出决算数为2.64万元，比上年决算增加0.42万元，增长18.92%,主要原因是：本年在职人员工资基数调增，公务员医疗补助上涨，相应支出增加。</w:t>
      </w:r>
    </w:p>
    <w:p w14:paraId="5849276A">
      <w:pPr>
        <w:spacing w:line="580" w:lineRule="exact"/>
        <w:ind w:firstLine="640"/>
        <w:jc w:val="both"/>
      </w:pPr>
      <w:r>
        <w:rPr>
          <w:rFonts w:ascii="仿宋_GB2312" w:hAnsi="仿宋_GB2312" w:eastAsia="仿宋_GB2312"/>
          <w:b w:val="0"/>
          <w:sz w:val="32"/>
        </w:rPr>
        <w:t>13.住房保障支出(类)住房改革支出(款)住房公积金(项):支出决算数为52.68万元，比上年决算增加4.36万元，增长9.02%,主要原因是：本年在职人员工资基数调增，公积金缴费基数上涨，相应支出增加。</w:t>
      </w:r>
    </w:p>
    <w:p w14:paraId="51437153">
      <w:pPr>
        <w:spacing w:line="580" w:lineRule="exact"/>
        <w:ind w:firstLine="640"/>
        <w:jc w:val="both"/>
      </w:pPr>
      <w:r>
        <w:rPr>
          <w:rFonts w:ascii="仿宋_GB2312" w:hAnsi="仿宋_GB2312" w:eastAsia="仿宋_GB2312"/>
          <w:b w:val="0"/>
          <w:sz w:val="32"/>
        </w:rPr>
        <w:t>14.其他支出(类)其他支出(款)其他支出(项):支出决算数为0.00万元，比上年决算减少5.45万元，下降100.00%,主要原因是：本年减少为民办实事工作经费。</w:t>
      </w:r>
    </w:p>
    <w:p w14:paraId="71A31E9F">
      <w:pPr>
        <w:spacing w:line="640" w:lineRule="exact"/>
        <w:ind w:firstLine="640"/>
        <w:jc w:val="both"/>
        <w:outlineLvl w:val="2"/>
      </w:pPr>
      <w:r>
        <w:rPr>
          <w:rFonts w:ascii="黑体" w:hAnsi="黑体" w:eastAsia="黑体"/>
          <w:sz w:val="32"/>
        </w:rPr>
        <w:t>六、一般公共预算财政拨款基本支出决算情况说明</w:t>
      </w:r>
    </w:p>
    <w:p w14:paraId="7980C97A">
      <w:pPr>
        <w:spacing w:line="580" w:lineRule="exact"/>
        <w:ind w:firstLine="640"/>
        <w:jc w:val="both"/>
      </w:pPr>
      <w:r>
        <w:rPr>
          <w:rFonts w:ascii="仿宋_GB2312" w:hAnsi="仿宋_GB2312" w:eastAsia="仿宋_GB2312"/>
          <w:b w:val="0"/>
          <w:sz w:val="32"/>
        </w:rPr>
        <w:t>2024年度一般公共预算财政拨款基本支出679.66万元，其中：</w:t>
      </w:r>
      <w:r>
        <w:rPr>
          <w:rFonts w:ascii="仿宋_GB2312" w:hAnsi="仿宋_GB2312" w:eastAsia="仿宋_GB2312"/>
          <w:b/>
          <w:sz w:val="32"/>
        </w:rPr>
        <w:t>人员经费667.28万元，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包括：基本工资、津贴补贴、奖金、机关事业单位基本养老保险缴费、职业年金缴费、职工基本医疗保险缴费、公务员医疗补助缴费、其他社会保障缴费、住房公积金、退休费、抚恤金、生活补助、奖励金。</w:t>
      </w:r>
    </w:p>
    <w:p w14:paraId="0A2732D1">
      <w:pPr>
        <w:spacing w:line="580" w:lineRule="exact"/>
        <w:ind w:firstLine="640"/>
        <w:jc w:val="both"/>
      </w:pPr>
      <w:r>
        <w:rPr>
          <w:rFonts w:ascii="仿宋_GB2312" w:hAnsi="仿宋_GB2312" w:eastAsia="仿宋_GB2312"/>
          <w:b/>
          <w:sz w:val="32"/>
        </w:rPr>
        <w:t>公用经费12.38万元，</w:t>
      </w:r>
      <w:r>
        <w:rPr>
          <w:rFonts w:ascii="仿宋_GB2312" w:hAnsi="仿宋_GB2312" w:eastAsia="仿宋_GB2312"/>
          <w:b w:val="0"/>
          <w:sz w:val="32"/>
        </w:rPr>
        <w:t>包括：办公费、手续费、水费、邮电费、差旅费、维修（护）费、租赁费、劳务费、工会经费、公务用车运行维护费、其他交通费用、其他商品和服务支出、办公设备购置。</w:t>
      </w:r>
    </w:p>
    <w:p w14:paraId="291A759A">
      <w:pPr>
        <w:spacing w:line="640" w:lineRule="exact"/>
        <w:ind w:firstLine="640"/>
        <w:jc w:val="both"/>
        <w:outlineLvl w:val="2"/>
      </w:pPr>
      <w:r>
        <w:rPr>
          <w:rFonts w:ascii="黑体" w:hAnsi="黑体" w:eastAsia="黑体"/>
          <w:sz w:val="32"/>
        </w:rPr>
        <w:t>七、政府性基金预算财政拨款收入支出决算情况说明</w:t>
      </w:r>
    </w:p>
    <w:p w14:paraId="66D52F54">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38C1856F">
      <w:pPr>
        <w:spacing w:line="640" w:lineRule="exact"/>
        <w:ind w:firstLine="640"/>
        <w:jc w:val="both"/>
        <w:outlineLvl w:val="2"/>
      </w:pPr>
      <w:r>
        <w:rPr>
          <w:rFonts w:ascii="黑体" w:hAnsi="黑体" w:eastAsia="黑体"/>
          <w:sz w:val="32"/>
        </w:rPr>
        <w:t>八、国有资本经营预算财政拨款收入支出决算情况说明</w:t>
      </w:r>
    </w:p>
    <w:p w14:paraId="2EED9ED5">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566578B3">
      <w:pPr>
        <w:spacing w:line="640" w:lineRule="exact"/>
        <w:ind w:firstLine="640"/>
        <w:jc w:val="both"/>
        <w:outlineLvl w:val="2"/>
      </w:pPr>
      <w:r>
        <w:rPr>
          <w:rFonts w:ascii="黑体" w:hAnsi="黑体" w:eastAsia="黑体"/>
          <w:sz w:val="32"/>
        </w:rPr>
        <w:t>九、财政拨款“三公”经费支出决算情况说明</w:t>
      </w:r>
    </w:p>
    <w:p w14:paraId="3FFB9D07">
      <w:pPr>
        <w:spacing w:line="580" w:lineRule="exact"/>
        <w:ind w:firstLine="640"/>
        <w:jc w:val="both"/>
      </w:pPr>
      <w:r>
        <w:rPr>
          <w:rFonts w:ascii="仿宋_GB2312" w:hAnsi="仿宋_GB2312" w:eastAsia="仿宋_GB2312"/>
          <w:b/>
          <w:sz w:val="32"/>
        </w:rPr>
        <w:t>2024年度财政拨款“三公”经费支出3.64万元，</w:t>
      </w:r>
      <w:r>
        <w:rPr>
          <w:rFonts w:ascii="仿宋_GB2312" w:hAnsi="仿宋_GB2312" w:eastAsia="仿宋_GB2312"/>
          <w:b w:val="0"/>
          <w:sz w:val="32"/>
        </w:rPr>
        <w:t>比上年增加0.83万元，增长29.54%，主要原因是：本部门公务用车日渐老化，维修维护成本增加，用车次数增加，燃油费增加，导致公务用车运行维护费较上年增加。其中：因公出国（境）费支出0.00万元，占0.00%，比上年增加0.00万元，增长0.00%，主要原因是：2023年与2024年均未安排因公出国（境）费支出。公务用车购置及运行维护费支出3.64万元，占100.00%，比上年增加0.83万元，增长29.54%，主要原因是：本部门公务用车日渐老化，维修维护成本增加，用车次数增加，燃油费增加，导致公务用车运行维护费较上年增加。公务接待费支出0.00万元，占0.00%，比上年增加0.00万元，增长0.00%，主要原因是：2023年与2024年均未安排公务接待费支出。</w:t>
      </w:r>
    </w:p>
    <w:p w14:paraId="1995095F">
      <w:pPr>
        <w:spacing w:line="580" w:lineRule="exact"/>
        <w:ind w:firstLine="640"/>
        <w:jc w:val="both"/>
      </w:pPr>
      <w:r>
        <w:rPr>
          <w:rFonts w:ascii="仿宋_GB2312" w:hAnsi="仿宋_GB2312" w:eastAsia="仿宋_GB2312"/>
          <w:b/>
          <w:sz w:val="32"/>
        </w:rPr>
        <w:t>具体情况如下：</w:t>
      </w:r>
    </w:p>
    <w:p w14:paraId="162007D5">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47DBCD9D">
      <w:pPr>
        <w:spacing w:line="580" w:lineRule="exact"/>
        <w:ind w:firstLine="640"/>
        <w:jc w:val="both"/>
      </w:pPr>
      <w:r>
        <w:rPr>
          <w:rFonts w:ascii="仿宋_GB2312" w:hAnsi="仿宋_GB2312" w:eastAsia="仿宋_GB2312"/>
          <w:b w:val="0"/>
          <w:sz w:val="32"/>
        </w:rPr>
        <w:t>公务用车购置及运行维护费3.64万元，其中：公务用车购置费0.00万元，公务用车运行维护费3.64万元。公务用车运行维护费开支内容包括车辆加油费、维修费、保险费。公务用车购置数0辆，公务用车保有量4辆。国有资产占用情况中固定资产车辆4辆，与公务用车保有量差异原因是：本部门固定资产车辆与公务用车保有量一致无差异。</w:t>
      </w:r>
    </w:p>
    <w:p w14:paraId="427E285C">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6D622CC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3.64万元，决算数3.64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3.64万元，决算数3.64万元，预决算差异率0.00%，主要原因是：严格按照预算执行，预决算无差异。公务接待费全年预算数0.00万元，决算数0.00万元，预决算差异率0.00%，主要原因是：本部门无公务接待费。</w:t>
      </w:r>
    </w:p>
    <w:p w14:paraId="6D8802B2">
      <w:pPr>
        <w:spacing w:line="640" w:lineRule="exact"/>
        <w:ind w:firstLine="640"/>
        <w:jc w:val="both"/>
        <w:outlineLvl w:val="2"/>
      </w:pPr>
      <w:r>
        <w:rPr>
          <w:rFonts w:ascii="黑体" w:hAnsi="黑体" w:eastAsia="黑体"/>
          <w:sz w:val="32"/>
        </w:rPr>
        <w:t>十、其他重要事项的情况说明</w:t>
      </w:r>
    </w:p>
    <w:p w14:paraId="7F0D811A">
      <w:pPr>
        <w:spacing w:line="640" w:lineRule="exact"/>
        <w:ind w:firstLine="640"/>
        <w:jc w:val="both"/>
        <w:outlineLvl w:val="3"/>
      </w:pPr>
      <w:r>
        <w:rPr>
          <w:rFonts w:ascii="楷体_GB2312" w:hAnsi="楷体_GB2312" w:eastAsia="楷体_GB2312"/>
          <w:b/>
          <w:sz w:val="32"/>
        </w:rPr>
        <w:t>（一）机关运行经费及公用经费支出情况</w:t>
      </w:r>
    </w:p>
    <w:p w14:paraId="4CC8E4B4">
      <w:pPr>
        <w:spacing w:line="580" w:lineRule="exact"/>
        <w:ind w:firstLine="640"/>
        <w:jc w:val="both"/>
      </w:pPr>
      <w:r>
        <w:rPr>
          <w:rFonts w:ascii="仿宋_GB2312" w:hAnsi="仿宋_GB2312" w:eastAsia="仿宋_GB2312"/>
          <w:b w:val="0"/>
          <w:sz w:val="32"/>
        </w:rPr>
        <w:t>2024年度中共且末县委员会宣传部（部门）（行政单位和参照公务员法管理事业单位）机关运行经费支出5.99万元，比上年减少16.90万元，下降73.83%，主要原因是：本年办公费、印刷费、差旅费减少，导致公用经费减少。</w:t>
      </w:r>
    </w:p>
    <w:p w14:paraId="043BCE37">
      <w:pPr>
        <w:spacing w:line="580" w:lineRule="exact"/>
        <w:ind w:firstLine="640"/>
        <w:jc w:val="both"/>
      </w:pPr>
      <w:r>
        <w:rPr>
          <w:rFonts w:ascii="仿宋_GB2312" w:hAnsi="仿宋_GB2312" w:eastAsia="仿宋_GB2312"/>
          <w:b w:val="0"/>
          <w:sz w:val="32"/>
        </w:rPr>
        <w:t>2024年度中共且末县委员会宣传部（部门）（事业单位）公用经费支出6.39万元，比上年减少1.81万元，下降22.07%，主要原因是：严格控制公用经费，合理节约办公用品，减少不必要开支。</w:t>
      </w:r>
    </w:p>
    <w:p w14:paraId="144F44D2">
      <w:pPr>
        <w:spacing w:line="640" w:lineRule="exact"/>
        <w:ind w:firstLine="640"/>
        <w:jc w:val="both"/>
        <w:outlineLvl w:val="3"/>
      </w:pPr>
      <w:r>
        <w:rPr>
          <w:rFonts w:ascii="楷体_GB2312" w:hAnsi="楷体_GB2312" w:eastAsia="楷体_GB2312"/>
          <w:b/>
          <w:sz w:val="32"/>
        </w:rPr>
        <w:t>（二）政府采购情况</w:t>
      </w:r>
    </w:p>
    <w:p w14:paraId="4642A770">
      <w:pPr>
        <w:spacing w:line="580" w:lineRule="exact"/>
        <w:ind w:firstLine="640"/>
        <w:jc w:val="both"/>
      </w:pPr>
      <w:r>
        <w:rPr>
          <w:rFonts w:ascii="仿宋_GB2312" w:hAnsi="仿宋_GB2312" w:eastAsia="仿宋_GB2312"/>
          <w:b w:val="0"/>
          <w:sz w:val="32"/>
        </w:rPr>
        <w:t>2024年度政府采购支出总额36.28万元，其中：政府采购货物支出1.80万元、政府采购工程支出0.00万元、政府采购服务支出34.48万元。</w:t>
      </w:r>
    </w:p>
    <w:p w14:paraId="70C8634F">
      <w:pPr>
        <w:spacing w:line="580" w:lineRule="exact"/>
        <w:ind w:firstLine="640"/>
        <w:jc w:val="both"/>
      </w:pPr>
      <w:r>
        <w:rPr>
          <w:rFonts w:ascii="仿宋_GB2312" w:hAnsi="仿宋_GB2312" w:eastAsia="仿宋_GB2312"/>
          <w:b w:val="0"/>
          <w:sz w:val="32"/>
        </w:rPr>
        <w:t>授予中小企业合同金额25.56万元，占政府采购支出总额的70.45%，其中：授予小微企业合同金额25.56万元，占政府采购支出总额的70.45%。</w:t>
      </w:r>
    </w:p>
    <w:p w14:paraId="33F94F74">
      <w:pPr>
        <w:spacing w:line="640" w:lineRule="exact"/>
        <w:ind w:firstLine="640"/>
        <w:jc w:val="both"/>
        <w:outlineLvl w:val="3"/>
      </w:pPr>
      <w:r>
        <w:rPr>
          <w:rFonts w:ascii="楷体_GB2312" w:hAnsi="楷体_GB2312" w:eastAsia="楷体_GB2312"/>
          <w:b/>
          <w:sz w:val="32"/>
        </w:rPr>
        <w:t>（三）国有资产占用情况说明</w:t>
      </w:r>
    </w:p>
    <w:p w14:paraId="621B0F04">
      <w:pPr>
        <w:spacing w:line="580" w:lineRule="exact"/>
        <w:ind w:firstLine="640"/>
        <w:jc w:val="both"/>
      </w:pPr>
      <w:r>
        <w:rPr>
          <w:rFonts w:ascii="仿宋_GB2312" w:hAnsi="仿宋_GB2312" w:eastAsia="仿宋_GB2312"/>
          <w:b w:val="0"/>
          <w:sz w:val="32"/>
        </w:rPr>
        <w:t>截至2024年12月31日，房屋1,439.26平方米，价值179.95万元。车辆4辆，价值48.94万元，其中：副部（省）级及以上领导用车0辆、主要负责人用车0辆、机要通信用车0辆、应急保障用车0辆、执法执勤用车0辆、特种专业技术用车1辆、离退休干部服务用车0辆、其他用车3辆，其他用车主要是：一般公务用车。单价100万元（含）以上设备（不含车辆）2台（套）。</w:t>
      </w:r>
    </w:p>
    <w:p w14:paraId="485181B3">
      <w:pPr>
        <w:spacing w:line="640" w:lineRule="exact"/>
        <w:ind w:firstLine="640"/>
        <w:jc w:val="both"/>
        <w:outlineLvl w:val="2"/>
      </w:pPr>
      <w:r>
        <w:rPr>
          <w:rFonts w:ascii="黑体" w:hAnsi="黑体" w:eastAsia="黑体"/>
          <w:sz w:val="32"/>
        </w:rPr>
        <w:t>十一、预算绩效的情况说明</w:t>
      </w:r>
    </w:p>
    <w:p w14:paraId="5D02024B">
      <w:pPr>
        <w:spacing w:line="580" w:lineRule="exact"/>
        <w:ind w:firstLine="640"/>
        <w:jc w:val="both"/>
      </w:pPr>
      <w:r>
        <w:rPr>
          <w:rFonts w:ascii="仿宋_GB2312" w:hAnsi="仿宋_GB2312" w:eastAsia="仿宋_GB2312"/>
          <w:b w:val="0"/>
          <w:sz w:val="32"/>
        </w:rPr>
        <w:t>根据预算绩效管理要求，本部门预算绩效评价项目3个，全年预算数69.55万元，全年执行数69.55万元。预算绩效管理取得的成效：一是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发现的问题及原因：一是绩效预算认识不够充分，绩效理念有待进一步强化，部门绩效管理理念尚未牢固树立，绩效管理专业人员匮乏。单位对全面实施绩效管理认识不够，绩效水平不高，单位内部绩效管理工作力量薄弱，多数以财务人员牵头开展绩效管理工作推动机制</w:t>
      </w:r>
      <w:r>
        <w:rPr>
          <w:rFonts w:hint="eastAsia" w:ascii="仿宋_GB2312" w:hAnsi="仿宋_GB2312" w:eastAsia="仿宋_GB2312"/>
          <w:b w:val="0"/>
          <w:sz w:val="32"/>
          <w:lang w:eastAsia="zh-CN"/>
        </w:rPr>
        <w:t>不健</w:t>
      </w:r>
      <w:r>
        <w:rPr>
          <w:rFonts w:ascii="仿宋_GB2312" w:hAnsi="仿宋_GB2312" w:eastAsia="仿宋_GB2312"/>
          <w:b w:val="0"/>
          <w:sz w:val="32"/>
        </w:rPr>
        <w:t>全，业务人员业务能力和素质还有待进一步提升；二是绩效档案归档工作有待提高，对档案工作重视程度不高，意识淡薄。单位人员对绩效档案管理工作重视程度不够，不注重关键时间节点材料的鉴定归档，造成绩效管理工作档案缺失；单位人员对档案管理工作缺少针对性和目的性，对绩效档案工作重要性的认识不足，缺乏熟练的业务知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下一步改进措施：一是加强培训，提高相关人员工作水平，采取多种培训形式对单位财务人员、业务科室人员进行集中培训，进一步树牢绩效观念，提高本单位工作人员的绩效管理能力和工作水平，为预算绩效管理相关工作的顺利开展提供保障；二是扎实推进档案规范化建设，提升档案管理水平，进一步完善项目评价资料。项目启动时同步做好档案的归纳与整理，及时整理、收集、汇总，健全档案资料。具体附项目支出绩效自评表和评价报告。</w:t>
      </w:r>
    </w:p>
    <w:p w14:paraId="7EB5E346">
      <w:pPr>
        <w:jc w:val="center"/>
        <w:rPr>
          <w:rFonts w:ascii="宋体" w:hAnsi="宋体" w:eastAsia="宋体"/>
          <w:sz w:val="24"/>
        </w:rPr>
      </w:pPr>
      <w:r>
        <w:rPr>
          <w:rFonts w:ascii="宋体" w:hAnsi="宋体" w:eastAsia="宋体"/>
          <w:sz w:val="24"/>
        </w:rP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4B457CA3">
        <w:tblPrEx>
          <w:tblCellMar>
            <w:top w:w="0" w:type="dxa"/>
            <w:left w:w="108" w:type="dxa"/>
            <w:bottom w:w="0" w:type="dxa"/>
            <w:right w:w="108" w:type="dxa"/>
          </w:tblCellMar>
        </w:tblPrEx>
        <w:tc>
          <w:tcPr>
            <w:tcW w:w="8848" w:type="dxa"/>
            <w:gridSpan w:val="14"/>
            <w:vAlign w:val="center"/>
          </w:tcPr>
          <w:p w14:paraId="09808788">
            <w:pPr>
              <w:jc w:val="center"/>
            </w:pPr>
            <w:r>
              <w:rPr>
                <w:rFonts w:ascii="宋体" w:hAnsi="宋体" w:eastAsia="宋体"/>
                <w:sz w:val="24"/>
              </w:rPr>
              <w:t>项目支出绩效自评表</w:t>
            </w:r>
          </w:p>
        </w:tc>
      </w:tr>
      <w:tr w14:paraId="772A3B81">
        <w:tblPrEx>
          <w:tblCellMar>
            <w:top w:w="0" w:type="dxa"/>
            <w:left w:w="108" w:type="dxa"/>
            <w:bottom w:w="0" w:type="dxa"/>
            <w:right w:w="108" w:type="dxa"/>
          </w:tblCellMar>
        </w:tblPrEx>
        <w:tc>
          <w:tcPr>
            <w:tcW w:w="8848" w:type="dxa"/>
            <w:gridSpan w:val="14"/>
            <w:vAlign w:val="center"/>
          </w:tcPr>
          <w:p w14:paraId="1E7F7B1B">
            <w:pPr>
              <w:jc w:val="center"/>
            </w:pPr>
            <w:r>
              <w:rPr>
                <w:rFonts w:ascii="宋体" w:hAnsi="宋体" w:eastAsia="宋体"/>
                <w:sz w:val="24"/>
              </w:rPr>
              <w:t>(2024年度)</w:t>
            </w:r>
          </w:p>
        </w:tc>
      </w:tr>
      <w:tr w14:paraId="385318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92C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756FB6">
            <w:pPr>
              <w:jc w:val="center"/>
            </w:pPr>
            <w:r>
              <w:rPr>
                <w:rFonts w:ascii="宋体" w:hAnsi="宋体" w:eastAsia="宋体"/>
                <w:sz w:val="16"/>
              </w:rPr>
              <w:t>2023年中央补助地方公共文化服务体系建设补助资金</w:t>
            </w:r>
          </w:p>
        </w:tc>
      </w:tr>
      <w:tr w14:paraId="02B510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CC3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E94E55">
            <w:pPr>
              <w:jc w:val="center"/>
            </w:pPr>
            <w:r>
              <w:rPr>
                <w:rFonts w:ascii="宋体" w:hAnsi="宋体" w:eastAsia="宋体"/>
                <w:sz w:val="16"/>
              </w:rPr>
              <w:t>且末县融媒体中心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D5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64CAF2">
            <w:pPr>
              <w:jc w:val="center"/>
            </w:pPr>
            <w:r>
              <w:rPr>
                <w:rFonts w:ascii="宋体" w:hAnsi="宋体" w:eastAsia="宋体"/>
                <w:sz w:val="16"/>
              </w:rPr>
              <w:t>且末县融媒体中心</w:t>
            </w:r>
          </w:p>
        </w:tc>
      </w:tr>
      <w:tr w14:paraId="13CA89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3F65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50E5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032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4DA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6449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036E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534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230BE">
            <w:pPr>
              <w:jc w:val="center"/>
            </w:pPr>
            <w:r>
              <w:rPr>
                <w:rFonts w:ascii="宋体" w:hAnsi="宋体" w:eastAsia="宋体"/>
                <w:sz w:val="16"/>
              </w:rPr>
              <w:t>得分</w:t>
            </w:r>
          </w:p>
        </w:tc>
      </w:tr>
      <w:tr w14:paraId="6C20A2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5C6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58B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D7F5F">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62902">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AAFC2">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CF90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8F01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03FB1">
            <w:pPr>
              <w:jc w:val="center"/>
            </w:pPr>
            <w:r>
              <w:rPr>
                <w:rFonts w:ascii="宋体" w:hAnsi="宋体" w:eastAsia="宋体"/>
                <w:sz w:val="16"/>
              </w:rPr>
              <w:t>10.00</w:t>
            </w:r>
          </w:p>
        </w:tc>
      </w:tr>
      <w:tr w14:paraId="730DA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D5E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EEA0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7E912">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669D0">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4BA7B">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35A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5D3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622E5">
            <w:pPr>
              <w:jc w:val="center"/>
            </w:pPr>
            <w:r>
              <w:rPr>
                <w:rFonts w:ascii="宋体" w:hAnsi="宋体" w:eastAsia="宋体"/>
                <w:sz w:val="16"/>
              </w:rPr>
              <w:t>-</w:t>
            </w:r>
          </w:p>
        </w:tc>
      </w:tr>
      <w:tr w14:paraId="00639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8B7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887C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F2D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CA0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7CE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4EF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34C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DF438">
            <w:pPr>
              <w:jc w:val="center"/>
            </w:pPr>
            <w:r>
              <w:rPr>
                <w:rFonts w:ascii="宋体" w:hAnsi="宋体" w:eastAsia="宋体"/>
                <w:sz w:val="16"/>
              </w:rPr>
              <w:t>-</w:t>
            </w:r>
          </w:p>
        </w:tc>
      </w:tr>
      <w:tr w14:paraId="4C7E62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5D8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5A87E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68CDDE">
            <w:pPr>
              <w:jc w:val="center"/>
            </w:pPr>
            <w:r>
              <w:rPr>
                <w:rFonts w:ascii="宋体" w:hAnsi="宋体" w:eastAsia="宋体"/>
                <w:sz w:val="16"/>
              </w:rPr>
              <w:t>总体目标完成情况</w:t>
            </w:r>
          </w:p>
        </w:tc>
      </w:tr>
      <w:tr w14:paraId="7F13C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D708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F8FFF7">
            <w:pPr>
              <w:jc w:val="both"/>
            </w:pPr>
            <w:r>
              <w:rPr>
                <w:rFonts w:ascii="宋体" w:hAnsi="宋体" w:eastAsia="宋体"/>
                <w:sz w:val="16"/>
              </w:rPr>
              <w:t>完成中央12套数字电视节目和中央一套、第七套模拟电视节目及2套调频广播节目的播出任务，保障广播电视发射机安全稳定运行，实现“三满”播出，巩固中央广播电视节目无线覆盖成果；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7C0D8E">
            <w:pPr>
              <w:jc w:val="both"/>
            </w:pPr>
            <w:r>
              <w:rPr>
                <w:rFonts w:ascii="宋体" w:hAnsi="宋体" w:eastAsia="宋体"/>
                <w:sz w:val="16"/>
              </w:rPr>
              <w:t>项目全款是34.73万元，支付了6.23万元电费，发射机房网络费16.5万元，铁塔检测费12万元。完成了中央12套数字电视节目和中央一套、第七套模拟电视节目及2套调频广播节目的播出任务，有效</w:t>
            </w:r>
            <w:r>
              <w:rPr>
                <w:rFonts w:hint="eastAsia" w:ascii="宋体" w:hAnsi="宋体"/>
                <w:sz w:val="16"/>
                <w:lang w:eastAsia="zh-CN"/>
              </w:rPr>
              <w:t>地</w:t>
            </w:r>
            <w:r>
              <w:rPr>
                <w:rFonts w:ascii="宋体" w:hAnsi="宋体" w:eastAsia="宋体"/>
                <w:sz w:val="16"/>
              </w:rPr>
              <w:t>保障了广播电视发射机安全稳定运行，实现“三满”播出，巩固中央广播电视节目无线覆盖成果，所有年度指标已完成。</w:t>
            </w:r>
          </w:p>
        </w:tc>
      </w:tr>
      <w:tr w14:paraId="7895A2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CAEE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7F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F9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B22C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BD23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EDF4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E878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CF4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543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164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612D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FF2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C8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6E60">
            <w:pPr>
              <w:jc w:val="center"/>
            </w:pPr>
            <w:r>
              <w:rPr>
                <w:rFonts w:ascii="宋体" w:hAnsi="宋体" w:eastAsia="宋体"/>
                <w:sz w:val="16"/>
              </w:rPr>
              <w:t>偏差原因分析及改进措施</w:t>
            </w:r>
          </w:p>
        </w:tc>
      </w:tr>
      <w:tr w14:paraId="5A79E5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E6E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150B4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3C4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776E">
            <w:pPr>
              <w:jc w:val="center"/>
            </w:pPr>
            <w:r>
              <w:rPr>
                <w:rFonts w:ascii="宋体" w:hAnsi="宋体" w:eastAsia="宋体"/>
                <w:sz w:val="16"/>
              </w:rPr>
              <w:t>中央数字电视发射设备2套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A2D1">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6A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0E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CDF4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4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D6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6A879">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23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CC1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D69C4">
            <w:pPr>
              <w:jc w:val="center"/>
            </w:pPr>
          </w:p>
        </w:tc>
      </w:tr>
      <w:tr w14:paraId="726F5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32F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994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BE8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18C7">
            <w:pPr>
              <w:jc w:val="center"/>
            </w:pPr>
            <w:r>
              <w:rPr>
                <w:rFonts w:ascii="宋体" w:hAnsi="宋体" w:eastAsia="宋体"/>
                <w:sz w:val="16"/>
              </w:rPr>
              <w:t>中央广播、电视设备各2套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8FCC4">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AEF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62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8248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57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7C9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EA76">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BB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5A9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B923">
            <w:pPr>
              <w:jc w:val="center"/>
            </w:pPr>
          </w:p>
        </w:tc>
      </w:tr>
      <w:tr w14:paraId="05C95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B16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D4A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2BF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E66D0">
            <w:pPr>
              <w:jc w:val="center"/>
            </w:pPr>
            <w:r>
              <w:rPr>
                <w:rFonts w:ascii="宋体" w:hAnsi="宋体" w:eastAsia="宋体"/>
                <w:sz w:val="16"/>
              </w:rPr>
              <w:t>完整播出中央电视台12套数字电视节目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00AE2">
            <w:pPr>
              <w:jc w:val="center"/>
            </w:pPr>
            <w:r>
              <w:rPr>
                <w:rFonts w:ascii="宋体" w:hAnsi="宋体" w:eastAsia="宋体"/>
                <w:sz w:val="16"/>
              </w:rPr>
              <w:t>=12套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C5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681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3640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3B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17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7F32">
            <w:pPr>
              <w:jc w:val="center"/>
            </w:pPr>
            <w:r>
              <w:rPr>
                <w:rFonts w:ascii="宋体" w:hAnsi="宋体" w:eastAsia="宋体"/>
                <w:sz w:val="16"/>
              </w:rPr>
              <w:t>=12套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59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520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21DB7">
            <w:pPr>
              <w:jc w:val="center"/>
            </w:pPr>
          </w:p>
        </w:tc>
      </w:tr>
      <w:tr w14:paraId="27A196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FB2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D4A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ABD5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E620F">
            <w:pPr>
              <w:jc w:val="center"/>
            </w:pPr>
            <w:r>
              <w:rPr>
                <w:rFonts w:ascii="宋体" w:hAnsi="宋体" w:eastAsia="宋体"/>
                <w:sz w:val="16"/>
              </w:rPr>
              <w:t>发射机满功率播出率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42B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BA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099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79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94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9BD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D0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ED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A8D1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0789">
            <w:pPr>
              <w:jc w:val="center"/>
            </w:pPr>
          </w:p>
        </w:tc>
      </w:tr>
      <w:tr w14:paraId="728D51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AA7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555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360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73CD2">
            <w:pPr>
              <w:jc w:val="center"/>
            </w:pPr>
            <w:r>
              <w:rPr>
                <w:rFonts w:ascii="宋体" w:hAnsi="宋体" w:eastAsia="宋体"/>
                <w:sz w:val="16"/>
              </w:rPr>
              <w:t>发射机满调制播出率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9B80">
            <w:pPr>
              <w:jc w:val="center"/>
            </w:pPr>
            <w:r>
              <w:rPr>
                <w:rFonts w:ascii="宋体" w:hAnsi="宋体" w:eastAsia="宋体"/>
                <w:sz w:val="16"/>
              </w:rPr>
              <w:t>优良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AEC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0D5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B04F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5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5DB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CB55">
            <w:pPr>
              <w:jc w:val="center"/>
            </w:pPr>
            <w:r>
              <w:rPr>
                <w:rFonts w:ascii="宋体" w:hAnsi="宋体" w:eastAsia="宋体"/>
                <w:sz w:val="16"/>
              </w:rPr>
              <w:t>优良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20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476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ACFA">
            <w:pPr>
              <w:jc w:val="center"/>
            </w:pPr>
          </w:p>
        </w:tc>
      </w:tr>
      <w:tr w14:paraId="23B518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160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B05D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82C40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388B0">
            <w:pPr>
              <w:jc w:val="center"/>
            </w:pPr>
            <w:r>
              <w:rPr>
                <w:rFonts w:ascii="宋体" w:hAnsi="宋体" w:eastAsia="宋体"/>
                <w:sz w:val="16"/>
              </w:rPr>
              <w:t>完整播出中央广播节目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184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3DE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3DB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68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5A4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E42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4A6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79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A8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75887">
            <w:pPr>
              <w:jc w:val="center"/>
            </w:pPr>
          </w:p>
        </w:tc>
      </w:tr>
      <w:tr w14:paraId="3C1D2A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1FD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CF9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C74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0F6D">
            <w:pPr>
              <w:jc w:val="center"/>
            </w:pPr>
            <w:r>
              <w:rPr>
                <w:rFonts w:ascii="宋体" w:hAnsi="宋体" w:eastAsia="宋体"/>
                <w:sz w:val="16"/>
              </w:rPr>
              <w:t>完整播出中央电视节目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A60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4B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10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21A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FCB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A6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2B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E1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AE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599B">
            <w:pPr>
              <w:jc w:val="center"/>
            </w:pPr>
          </w:p>
        </w:tc>
      </w:tr>
      <w:tr w14:paraId="3FEC2F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1D3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4B0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9C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939D">
            <w:pPr>
              <w:jc w:val="center"/>
            </w:pPr>
            <w:r>
              <w:rPr>
                <w:rFonts w:ascii="宋体" w:hAnsi="宋体" w:eastAsia="宋体"/>
                <w:sz w:val="16"/>
              </w:rPr>
              <w:t>强化机房人、财、物管理，降低运维成本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2568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2D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D61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CFE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A39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4A1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B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5D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77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F61EC">
            <w:pPr>
              <w:jc w:val="center"/>
            </w:pPr>
          </w:p>
        </w:tc>
      </w:tr>
      <w:tr w14:paraId="48AC50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B28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846A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C20FB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DEB1C">
            <w:pPr>
              <w:jc w:val="center"/>
            </w:pPr>
            <w:r>
              <w:rPr>
                <w:rFonts w:ascii="宋体" w:hAnsi="宋体" w:eastAsia="宋体"/>
                <w:sz w:val="16"/>
              </w:rPr>
              <w:t>广播电视宣传覆盖率达到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67A4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7A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6B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35E7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2E3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8E4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B9D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E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C11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0379D">
            <w:pPr>
              <w:jc w:val="center"/>
            </w:pPr>
          </w:p>
        </w:tc>
      </w:tr>
      <w:tr w14:paraId="62A2C2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57A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AD1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FAF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BDCF2">
            <w:pPr>
              <w:jc w:val="center"/>
            </w:pPr>
            <w:r>
              <w:rPr>
                <w:rFonts w:ascii="宋体" w:hAnsi="宋体" w:eastAsia="宋体"/>
                <w:sz w:val="16"/>
              </w:rPr>
              <w:t>各族群众及时收听收看了解</w:t>
            </w:r>
            <w:r>
              <w:rPr>
                <w:rFonts w:hint="eastAsia" w:ascii="宋体" w:hAnsi="宋体"/>
                <w:sz w:val="16"/>
                <w:lang w:eastAsia="zh-CN"/>
              </w:rPr>
              <w:t>党的路线方针政策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DD8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06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C38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95E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46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06C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F79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A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5C1A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36BAF">
            <w:pPr>
              <w:jc w:val="center"/>
            </w:pPr>
          </w:p>
        </w:tc>
      </w:tr>
      <w:tr w14:paraId="1365A4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60B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055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775E">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6F4E1">
            <w:pPr>
              <w:jc w:val="center"/>
            </w:pPr>
            <w:r>
              <w:rPr>
                <w:rFonts w:ascii="宋体" w:hAnsi="宋体" w:eastAsia="宋体"/>
                <w:sz w:val="16"/>
              </w:rPr>
              <w:t>加强技术改造，降低电磁污染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44E9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C7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BE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D523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90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0F7D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87D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C2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44F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D8036">
            <w:pPr>
              <w:jc w:val="center"/>
            </w:pPr>
          </w:p>
        </w:tc>
      </w:tr>
      <w:tr w14:paraId="7EA8A4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CB94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B549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D49F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8F08">
            <w:pPr>
              <w:jc w:val="center"/>
            </w:pPr>
            <w:r>
              <w:rPr>
                <w:rFonts w:ascii="宋体" w:hAnsi="宋体" w:eastAsia="宋体"/>
                <w:sz w:val="16"/>
              </w:rPr>
              <w:t>收看电视节目群众满意度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A48C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443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7F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25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68FB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507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FC7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2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7C0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1C95">
            <w:pPr>
              <w:jc w:val="center"/>
            </w:pPr>
          </w:p>
        </w:tc>
      </w:tr>
      <w:tr w14:paraId="29D4B9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C4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A8C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AB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2FC51">
            <w:pPr>
              <w:jc w:val="center"/>
            </w:pPr>
            <w:r>
              <w:rPr>
                <w:rFonts w:ascii="宋体" w:hAnsi="宋体" w:eastAsia="宋体"/>
                <w:sz w:val="16"/>
              </w:rPr>
              <w:t>收听广播节目群众满意度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5736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4D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58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538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21B1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F8F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AC2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34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DD7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F0B2">
            <w:pPr>
              <w:jc w:val="center"/>
            </w:pPr>
          </w:p>
        </w:tc>
      </w:tr>
      <w:tr w14:paraId="3DDA833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9DE2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452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D169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2DF0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F9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D2F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590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BB7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C32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5158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63D892"/>
        </w:tc>
      </w:tr>
    </w:tbl>
    <w:p w14:paraId="121EEE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30CB4233">
        <w:tblPrEx>
          <w:tblCellMar>
            <w:top w:w="0" w:type="dxa"/>
            <w:left w:w="108" w:type="dxa"/>
            <w:bottom w:w="0" w:type="dxa"/>
            <w:right w:w="108" w:type="dxa"/>
          </w:tblCellMar>
        </w:tblPrEx>
        <w:tc>
          <w:tcPr>
            <w:tcW w:w="8848" w:type="dxa"/>
            <w:gridSpan w:val="14"/>
            <w:vAlign w:val="center"/>
          </w:tcPr>
          <w:p w14:paraId="7534C31C">
            <w:pPr>
              <w:jc w:val="center"/>
            </w:pPr>
            <w:r>
              <w:rPr>
                <w:rFonts w:ascii="宋体" w:hAnsi="宋体" w:eastAsia="宋体"/>
                <w:sz w:val="24"/>
              </w:rPr>
              <w:t>项目支出绩效自评表</w:t>
            </w:r>
          </w:p>
        </w:tc>
      </w:tr>
      <w:tr w14:paraId="6CE78DA4">
        <w:tblPrEx>
          <w:tblCellMar>
            <w:top w:w="0" w:type="dxa"/>
            <w:left w:w="108" w:type="dxa"/>
            <w:bottom w:w="0" w:type="dxa"/>
            <w:right w:w="108" w:type="dxa"/>
          </w:tblCellMar>
        </w:tblPrEx>
        <w:tc>
          <w:tcPr>
            <w:tcW w:w="8848" w:type="dxa"/>
            <w:gridSpan w:val="14"/>
            <w:vAlign w:val="center"/>
          </w:tcPr>
          <w:p w14:paraId="2EEBF2D1">
            <w:pPr>
              <w:jc w:val="center"/>
            </w:pPr>
            <w:r>
              <w:rPr>
                <w:rFonts w:ascii="宋体" w:hAnsi="宋体" w:eastAsia="宋体"/>
                <w:sz w:val="24"/>
              </w:rPr>
              <w:t>(2024年度)</w:t>
            </w:r>
          </w:p>
        </w:tc>
      </w:tr>
      <w:tr w14:paraId="312CCF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D51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5928FA">
            <w:pPr>
              <w:jc w:val="center"/>
            </w:pPr>
            <w:r>
              <w:rPr>
                <w:rFonts w:ascii="宋体" w:hAnsi="宋体" w:eastAsia="宋体"/>
                <w:sz w:val="16"/>
              </w:rPr>
              <w:t>2024年广播电视“村村通”运行维护聘用人员经费-巴财教</w:t>
            </w:r>
            <w:r>
              <w:rPr>
                <w:rFonts w:hint="eastAsia" w:ascii="宋体" w:hAnsi="宋体"/>
                <w:sz w:val="16"/>
                <w:lang w:eastAsia="zh-CN"/>
              </w:rPr>
              <w:t>〔2023〕52号</w:t>
            </w:r>
          </w:p>
        </w:tc>
      </w:tr>
      <w:tr w14:paraId="7F91D2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7823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E8CF43">
            <w:pPr>
              <w:jc w:val="center"/>
            </w:pPr>
            <w:r>
              <w:rPr>
                <w:rFonts w:ascii="宋体" w:hAnsi="宋体" w:eastAsia="宋体"/>
                <w:sz w:val="16"/>
              </w:rPr>
              <w:t>且末县融媒体中心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F0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19C470">
            <w:pPr>
              <w:jc w:val="center"/>
            </w:pPr>
            <w:r>
              <w:rPr>
                <w:rFonts w:ascii="宋体" w:hAnsi="宋体" w:eastAsia="宋体"/>
                <w:sz w:val="16"/>
              </w:rPr>
              <w:t>且末县融媒体中心</w:t>
            </w:r>
          </w:p>
        </w:tc>
      </w:tr>
      <w:tr w14:paraId="47FB77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59AF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BE11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A44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3AE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655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6CBA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F2B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4AD79">
            <w:pPr>
              <w:jc w:val="center"/>
            </w:pPr>
            <w:r>
              <w:rPr>
                <w:rFonts w:ascii="宋体" w:hAnsi="宋体" w:eastAsia="宋体"/>
                <w:sz w:val="16"/>
              </w:rPr>
              <w:t>得分</w:t>
            </w:r>
          </w:p>
        </w:tc>
      </w:tr>
      <w:tr w14:paraId="1D9C71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F05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08F0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98915">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1E643">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EAE6D">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0B1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FD8E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016A">
            <w:pPr>
              <w:jc w:val="center"/>
            </w:pPr>
            <w:r>
              <w:rPr>
                <w:rFonts w:ascii="宋体" w:hAnsi="宋体" w:eastAsia="宋体"/>
                <w:sz w:val="16"/>
              </w:rPr>
              <w:t>10.00</w:t>
            </w:r>
          </w:p>
        </w:tc>
      </w:tr>
      <w:tr w14:paraId="38BD94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49A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95A4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D7DED">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19F01">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1E0C6">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8FD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DAB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DAAC4">
            <w:pPr>
              <w:jc w:val="center"/>
            </w:pPr>
            <w:r>
              <w:rPr>
                <w:rFonts w:ascii="宋体" w:hAnsi="宋体" w:eastAsia="宋体"/>
                <w:sz w:val="16"/>
              </w:rPr>
              <w:t>-</w:t>
            </w:r>
          </w:p>
        </w:tc>
      </w:tr>
      <w:tr w14:paraId="29650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E97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5F06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072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6CD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098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2FA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30C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31CE">
            <w:pPr>
              <w:jc w:val="center"/>
            </w:pPr>
            <w:r>
              <w:rPr>
                <w:rFonts w:ascii="宋体" w:hAnsi="宋体" w:eastAsia="宋体"/>
                <w:sz w:val="16"/>
              </w:rPr>
              <w:t>-</w:t>
            </w:r>
          </w:p>
        </w:tc>
      </w:tr>
      <w:tr w14:paraId="66BFFC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94F5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509D3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580E33">
            <w:pPr>
              <w:jc w:val="center"/>
            </w:pPr>
            <w:r>
              <w:rPr>
                <w:rFonts w:ascii="宋体" w:hAnsi="宋体" w:eastAsia="宋体"/>
                <w:sz w:val="16"/>
              </w:rPr>
              <w:t>总体目标完成情况</w:t>
            </w:r>
          </w:p>
        </w:tc>
      </w:tr>
      <w:tr w14:paraId="4C76D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A02A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F213E7">
            <w:pPr>
              <w:jc w:val="both"/>
            </w:pPr>
            <w:r>
              <w:rPr>
                <w:rFonts w:ascii="宋体" w:hAnsi="宋体" w:eastAsia="宋体"/>
                <w:sz w:val="16"/>
              </w:rPr>
              <w:t>聘用专职村村通维护管理人员，承担已实施“村村通”、“户户通”和农村广播“大喇叭”工程基层运行维护工作，实现“小问题不出乡镇，一般问题不出县市”的运行维护目标，全面保障各项设施设备运行维护正常，广大农牧民群众能够正常收听收</w:t>
            </w:r>
            <w:r>
              <w:rPr>
                <w:rFonts w:hint="eastAsia" w:ascii="宋体" w:hAnsi="宋体"/>
                <w:sz w:val="16"/>
                <w:lang w:eastAsia="zh-CN"/>
              </w:rPr>
              <w:t>看</w:t>
            </w:r>
            <w:r>
              <w:rPr>
                <w:rFonts w:ascii="宋体" w:hAnsi="宋体" w:eastAsia="宋体"/>
                <w:sz w:val="16"/>
              </w:rPr>
              <w:t>广播电视节目，基层意识形态领域宣传阵地得到有效巩固。聘用12名专职村村通维护管理人员，承担已实施“村村通”、“户户通”和农村广播“大喇叭”工程基层运行维护工作，实现“小问题不出乡镇，一般问题不出县市”的运行维护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8E185B">
            <w:pPr>
              <w:jc w:val="both"/>
            </w:pPr>
            <w:r>
              <w:rPr>
                <w:rFonts w:ascii="宋体" w:hAnsi="宋体" w:eastAsia="宋体"/>
                <w:sz w:val="16"/>
              </w:rPr>
              <w:t>2024年度“村村通”运行维护聘用人员经费支出了19.82万元，主要用于发放聘用人员、村村通管理人员工资等。聘用专职村村通维护管理人员，承担已实施“村村通”、“户户通”和农村广播“大喇叭”工程基层运行维护工作，实现了“小问题不出乡镇，一般问题不出县市”的运行维护目标，全面保障各项设施设备运行维护正常，广大农牧民群众能够正常收听收</w:t>
            </w:r>
            <w:r>
              <w:rPr>
                <w:rFonts w:hint="eastAsia" w:ascii="宋体" w:hAnsi="宋体"/>
                <w:sz w:val="16"/>
                <w:lang w:eastAsia="zh-CN"/>
              </w:rPr>
              <w:t>看</w:t>
            </w:r>
            <w:r>
              <w:rPr>
                <w:rFonts w:ascii="宋体" w:hAnsi="宋体" w:eastAsia="宋体"/>
                <w:sz w:val="16"/>
              </w:rPr>
              <w:t>广播电视节目，基层意识形态领域宣传阵地得到了有效巩固。聘用11名专职村村通维护管理人员，承担已实施“村村通”、“户户通”和农村广播“大喇叭”工程基层运行维护工作，实现“小问题不出乡镇，一般问题不出县市”的运行维护目标。</w:t>
            </w:r>
            <w:r>
              <w:rPr>
                <w:rFonts w:ascii="宋体" w:hAnsi="宋体" w:eastAsia="宋体"/>
                <w:sz w:val="16"/>
              </w:rPr>
              <w:br w:type="textWrapping"/>
            </w:r>
          </w:p>
        </w:tc>
      </w:tr>
      <w:tr w14:paraId="78A4B9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4933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C33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73A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410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909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CC46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C8A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53D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CC15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09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ADF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442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99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CBEF">
            <w:pPr>
              <w:jc w:val="center"/>
            </w:pPr>
            <w:r>
              <w:rPr>
                <w:rFonts w:ascii="宋体" w:hAnsi="宋体" w:eastAsia="宋体"/>
                <w:sz w:val="16"/>
              </w:rPr>
              <w:t>偏差原因分析及改进措施</w:t>
            </w:r>
          </w:p>
        </w:tc>
      </w:tr>
      <w:tr w14:paraId="09EC4B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FFF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CAA3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71EE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317E">
            <w:pPr>
              <w:jc w:val="center"/>
            </w:pPr>
            <w:r>
              <w:rPr>
                <w:rFonts w:ascii="宋体" w:hAnsi="宋体" w:eastAsia="宋体"/>
                <w:sz w:val="16"/>
              </w:rPr>
              <w:t>发放补助人数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492AB">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9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6B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28C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668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75D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2FCC">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F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3A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788A">
            <w:pPr>
              <w:jc w:val="center"/>
            </w:pPr>
          </w:p>
        </w:tc>
      </w:tr>
      <w:tr w14:paraId="5AE0B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CAE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0CE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A42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C8BA9">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2799">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07C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0BF57">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0A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8BB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06C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EC2A4">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6A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FA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C5B7">
            <w:pPr>
              <w:jc w:val="center"/>
            </w:pPr>
          </w:p>
        </w:tc>
      </w:tr>
      <w:tr w14:paraId="25C43C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FF1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721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96892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F9950">
            <w:pPr>
              <w:jc w:val="center"/>
            </w:pPr>
            <w:r>
              <w:rPr>
                <w:rFonts w:ascii="宋体" w:hAnsi="宋体" w:eastAsia="宋体"/>
                <w:sz w:val="16"/>
              </w:rPr>
              <w:t>聘用人员年度考核合格率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0767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CB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7DC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D7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405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B2C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2C9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AE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868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B5198">
            <w:pPr>
              <w:jc w:val="center"/>
            </w:pPr>
          </w:p>
        </w:tc>
      </w:tr>
      <w:tr w14:paraId="05695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AD4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7F4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402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744DD">
            <w:pPr>
              <w:jc w:val="center"/>
            </w:pPr>
            <w:r>
              <w:rPr>
                <w:rFonts w:ascii="宋体" w:hAnsi="宋体" w:eastAsia="宋体"/>
                <w:sz w:val="16"/>
              </w:rPr>
              <w:t>设备维护维修率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4BFA">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C1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45FB">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0A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1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338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AE12">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43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02B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7148">
            <w:pPr>
              <w:jc w:val="center"/>
            </w:pPr>
          </w:p>
        </w:tc>
      </w:tr>
      <w:tr w14:paraId="7D2281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6BF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236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D54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FC0C">
            <w:pPr>
              <w:jc w:val="center"/>
            </w:pPr>
            <w:r>
              <w:rPr>
                <w:rFonts w:ascii="宋体" w:hAnsi="宋体" w:eastAsia="宋体"/>
                <w:sz w:val="16"/>
              </w:rPr>
              <w:t>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A3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B9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2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A4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04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EA99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30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1A8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09A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E631A">
            <w:pPr>
              <w:jc w:val="center"/>
            </w:pPr>
          </w:p>
        </w:tc>
      </w:tr>
      <w:tr w14:paraId="70CB97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495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F755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FCF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CC438">
            <w:pPr>
              <w:jc w:val="center"/>
            </w:pPr>
            <w:r>
              <w:rPr>
                <w:rFonts w:ascii="宋体" w:hAnsi="宋体" w:eastAsia="宋体"/>
                <w:sz w:val="16"/>
              </w:rPr>
              <w:t>稳定村村通运行维护人员队伍，提高我县村村通运行维护水平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AAD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C7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4ADD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51D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57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079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9F86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E04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CE3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0DF0">
            <w:pPr>
              <w:jc w:val="center"/>
            </w:pPr>
          </w:p>
        </w:tc>
      </w:tr>
      <w:tr w14:paraId="64DB68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B1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7E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208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4E307">
            <w:pPr>
              <w:jc w:val="center"/>
            </w:pPr>
            <w:r>
              <w:rPr>
                <w:rFonts w:ascii="宋体" w:hAnsi="宋体" w:eastAsia="宋体"/>
                <w:sz w:val="16"/>
              </w:rPr>
              <w:t>聘用人员满意度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74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362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76F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A2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1B8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FD23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4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3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D8A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3BD69">
            <w:pPr>
              <w:jc w:val="center"/>
            </w:pPr>
          </w:p>
        </w:tc>
      </w:tr>
      <w:tr w14:paraId="42BD20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2D18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8F56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B87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B6A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F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C04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E71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C0F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3DB7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F1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7FBA8"/>
        </w:tc>
      </w:tr>
    </w:tbl>
    <w:p w14:paraId="4E23488E">
      <w:r>
        <w:br w:type="page"/>
      </w:r>
    </w:p>
    <w:tbl>
      <w:tblPr>
        <w:tblStyle w:val="9"/>
        <w:tblW w:w="0" w:type="auto"/>
        <w:tblInd w:w="0" w:type="dxa"/>
        <w:tblLayout w:type="autofit"/>
        <w:tblCellMar>
          <w:top w:w="0" w:type="dxa"/>
          <w:left w:w="108" w:type="dxa"/>
          <w:bottom w:w="0" w:type="dxa"/>
          <w:right w:w="108" w:type="dxa"/>
        </w:tblCellMar>
      </w:tblPr>
      <w:tblGrid>
        <w:gridCol w:w="613"/>
        <w:gridCol w:w="581"/>
        <w:gridCol w:w="581"/>
        <w:gridCol w:w="581"/>
        <w:gridCol w:w="856"/>
        <w:gridCol w:w="581"/>
        <w:gridCol w:w="856"/>
        <w:gridCol w:w="597"/>
        <w:gridCol w:w="581"/>
        <w:gridCol w:w="597"/>
        <w:gridCol w:w="696"/>
        <w:gridCol w:w="613"/>
        <w:gridCol w:w="697"/>
        <w:gridCol w:w="630"/>
      </w:tblGrid>
      <w:tr w14:paraId="6467B7F2">
        <w:tblPrEx>
          <w:tblCellMar>
            <w:top w:w="0" w:type="dxa"/>
            <w:left w:w="108" w:type="dxa"/>
            <w:bottom w:w="0" w:type="dxa"/>
            <w:right w:w="108" w:type="dxa"/>
          </w:tblCellMar>
        </w:tblPrEx>
        <w:tc>
          <w:tcPr>
            <w:tcW w:w="8848" w:type="dxa"/>
            <w:gridSpan w:val="14"/>
            <w:vAlign w:val="center"/>
          </w:tcPr>
          <w:p w14:paraId="0D97DAB1">
            <w:pPr>
              <w:jc w:val="center"/>
            </w:pPr>
            <w:r>
              <w:rPr>
                <w:rFonts w:ascii="宋体" w:hAnsi="宋体" w:eastAsia="宋体"/>
                <w:sz w:val="24"/>
              </w:rPr>
              <w:t>项目支出绩效自评表</w:t>
            </w:r>
          </w:p>
        </w:tc>
      </w:tr>
      <w:tr w14:paraId="1D2B937F">
        <w:tblPrEx>
          <w:tblCellMar>
            <w:top w:w="0" w:type="dxa"/>
            <w:left w:w="108" w:type="dxa"/>
            <w:bottom w:w="0" w:type="dxa"/>
            <w:right w:w="108" w:type="dxa"/>
          </w:tblCellMar>
        </w:tblPrEx>
        <w:tc>
          <w:tcPr>
            <w:tcW w:w="8848" w:type="dxa"/>
            <w:gridSpan w:val="14"/>
            <w:vAlign w:val="center"/>
          </w:tcPr>
          <w:p w14:paraId="086A7595">
            <w:pPr>
              <w:jc w:val="center"/>
            </w:pPr>
            <w:r>
              <w:rPr>
                <w:rFonts w:ascii="宋体" w:hAnsi="宋体" w:eastAsia="宋体"/>
                <w:sz w:val="24"/>
              </w:rPr>
              <w:t>(2024年度)</w:t>
            </w:r>
          </w:p>
        </w:tc>
      </w:tr>
      <w:tr w14:paraId="41211F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6F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7911CA">
            <w:pPr>
              <w:jc w:val="center"/>
            </w:pPr>
            <w:r>
              <w:rPr>
                <w:rFonts w:ascii="宋体" w:hAnsi="宋体" w:eastAsia="宋体"/>
                <w:sz w:val="16"/>
              </w:rPr>
              <w:t>2024年自治区广播电视节目无线覆盖运行维护经费</w:t>
            </w:r>
          </w:p>
        </w:tc>
      </w:tr>
      <w:tr w14:paraId="71EAA9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92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D6FE5A">
            <w:pPr>
              <w:jc w:val="center"/>
            </w:pPr>
            <w:r>
              <w:rPr>
                <w:rFonts w:ascii="宋体" w:hAnsi="宋体" w:eastAsia="宋体"/>
                <w:sz w:val="16"/>
              </w:rPr>
              <w:t>且末县融媒体中心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03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43C78C">
            <w:pPr>
              <w:jc w:val="center"/>
            </w:pPr>
            <w:r>
              <w:rPr>
                <w:rFonts w:ascii="宋体" w:hAnsi="宋体" w:eastAsia="宋体"/>
                <w:sz w:val="16"/>
              </w:rPr>
              <w:t>且末县融媒体中心</w:t>
            </w:r>
          </w:p>
        </w:tc>
      </w:tr>
      <w:tr w14:paraId="005408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57B21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F1B3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24D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769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5F1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8F9E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D6DB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B625">
            <w:pPr>
              <w:jc w:val="center"/>
            </w:pPr>
            <w:r>
              <w:rPr>
                <w:rFonts w:ascii="宋体" w:hAnsi="宋体" w:eastAsia="宋体"/>
                <w:sz w:val="16"/>
              </w:rPr>
              <w:t>得分</w:t>
            </w:r>
          </w:p>
        </w:tc>
      </w:tr>
      <w:tr w14:paraId="5B691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273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FCA6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2812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2135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C684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3A10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34CD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EE617">
            <w:pPr>
              <w:jc w:val="center"/>
            </w:pPr>
            <w:r>
              <w:rPr>
                <w:rFonts w:ascii="宋体" w:hAnsi="宋体" w:eastAsia="宋体"/>
                <w:sz w:val="16"/>
              </w:rPr>
              <w:t>10.00</w:t>
            </w:r>
          </w:p>
        </w:tc>
      </w:tr>
      <w:tr w14:paraId="3E6CF0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1ED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0593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C739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6A27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2FE9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434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C5E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60A39">
            <w:pPr>
              <w:jc w:val="center"/>
            </w:pPr>
            <w:r>
              <w:rPr>
                <w:rFonts w:ascii="宋体" w:hAnsi="宋体" w:eastAsia="宋体"/>
                <w:sz w:val="16"/>
              </w:rPr>
              <w:t>-</w:t>
            </w:r>
          </w:p>
        </w:tc>
      </w:tr>
      <w:tr w14:paraId="5C585D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25C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3CD4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C80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6ED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8D6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F07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847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A997">
            <w:pPr>
              <w:jc w:val="center"/>
            </w:pPr>
            <w:r>
              <w:rPr>
                <w:rFonts w:ascii="宋体" w:hAnsi="宋体" w:eastAsia="宋体"/>
                <w:sz w:val="16"/>
              </w:rPr>
              <w:t>-</w:t>
            </w:r>
          </w:p>
        </w:tc>
      </w:tr>
      <w:tr w14:paraId="174C8C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823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1F0FB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8E4CB3">
            <w:pPr>
              <w:jc w:val="center"/>
            </w:pPr>
            <w:r>
              <w:rPr>
                <w:rFonts w:ascii="宋体" w:hAnsi="宋体" w:eastAsia="宋体"/>
                <w:sz w:val="16"/>
              </w:rPr>
              <w:t>总体目标完成情况</w:t>
            </w:r>
          </w:p>
        </w:tc>
      </w:tr>
      <w:tr w14:paraId="3CC614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DEF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B6CDEC">
            <w:pPr>
              <w:jc w:val="both"/>
            </w:pPr>
            <w:r>
              <w:rPr>
                <w:rFonts w:ascii="宋体" w:hAnsi="宋体" w:eastAsia="宋体"/>
                <w:sz w:val="16"/>
              </w:rPr>
              <w:t>保障广播电视节目无限覆盖正常运行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FA901F">
            <w:pPr>
              <w:jc w:val="both"/>
            </w:pPr>
            <w:r>
              <w:rPr>
                <w:rFonts w:ascii="宋体" w:hAnsi="宋体" w:eastAsia="宋体"/>
                <w:sz w:val="16"/>
              </w:rPr>
              <w:t>实际完成目标：</w:t>
            </w:r>
            <w:r>
              <w:rPr>
                <w:rFonts w:ascii="宋体" w:hAnsi="宋体" w:eastAsia="宋体"/>
                <w:sz w:val="16"/>
              </w:rPr>
              <w:br w:type="textWrapping"/>
            </w:r>
            <w:r>
              <w:rPr>
                <w:rFonts w:ascii="宋体" w:hAnsi="宋体" w:eastAsia="宋体"/>
                <w:sz w:val="16"/>
              </w:rPr>
              <w:t>2024年自治区广播电视节目无线覆盖运行维护经费到位资金14万元，已支付15万元，主要用于支付电费，发射机房网络费，预警系统费。</w:t>
            </w:r>
          </w:p>
        </w:tc>
      </w:tr>
      <w:tr w14:paraId="43B939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B183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1B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16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6941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F16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A910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A6B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0D1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B7D6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B5C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4F19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D2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4B6B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1742">
            <w:pPr>
              <w:jc w:val="center"/>
            </w:pPr>
            <w:r>
              <w:rPr>
                <w:rFonts w:ascii="宋体" w:hAnsi="宋体" w:eastAsia="宋体"/>
                <w:sz w:val="16"/>
              </w:rPr>
              <w:t>偏差原因分析及改进措施</w:t>
            </w:r>
          </w:p>
        </w:tc>
      </w:tr>
      <w:tr w14:paraId="38C306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C7C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B3A7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D27A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BCEB4">
            <w:pPr>
              <w:jc w:val="center"/>
            </w:pPr>
            <w:r>
              <w:rPr>
                <w:rFonts w:ascii="宋体" w:hAnsi="宋体" w:eastAsia="宋体"/>
                <w:sz w:val="16"/>
              </w:rPr>
              <w:t>发射机数量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A3AB">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11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9796">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85EB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CBF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116B3">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8DEE5">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EF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AC54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77D8D">
            <w:pPr>
              <w:jc w:val="center"/>
            </w:pPr>
          </w:p>
        </w:tc>
      </w:tr>
      <w:tr w14:paraId="613ACB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7DF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CC5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50D6F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349F5">
            <w:pPr>
              <w:jc w:val="center"/>
            </w:pPr>
            <w:r>
              <w:rPr>
                <w:rFonts w:ascii="宋体" w:hAnsi="宋体" w:eastAsia="宋体"/>
                <w:sz w:val="16"/>
              </w:rPr>
              <w:t>无线覆盖免费收听自治区广播节目数量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B885">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F00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DB3B">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ED6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1EB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99F4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196B1">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C37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35ED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142DE">
            <w:pPr>
              <w:jc w:val="center"/>
            </w:pPr>
          </w:p>
        </w:tc>
      </w:tr>
      <w:tr w14:paraId="2C644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8B9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6D8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D0F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4173">
            <w:pPr>
              <w:jc w:val="center"/>
            </w:pPr>
            <w:r>
              <w:rPr>
                <w:rFonts w:ascii="宋体" w:hAnsi="宋体" w:eastAsia="宋体"/>
                <w:sz w:val="16"/>
              </w:rPr>
              <w:t>发射机满功率播出率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7DF47">
            <w:pPr>
              <w:jc w:val="center"/>
            </w:pPr>
            <w:r>
              <w:rPr>
                <w:rFonts w:ascii="宋体" w:hAnsi="宋体" w:eastAsia="宋体"/>
                <w:sz w:val="16"/>
              </w:rPr>
              <w:t>&gt;=98.50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058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F9E6B">
            <w:pPr>
              <w:jc w:val="center"/>
            </w:pPr>
            <w:r>
              <w:rPr>
                <w:rFonts w:ascii="宋体" w:hAnsi="宋体" w:eastAsia="宋体"/>
                <w:sz w:val="16"/>
              </w:rPr>
              <w:t>&gt;=98.50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2ADD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5F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D3EC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9B8F">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F9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D12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0E728">
            <w:pPr>
              <w:jc w:val="center"/>
            </w:pPr>
          </w:p>
        </w:tc>
      </w:tr>
      <w:tr w14:paraId="117120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427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1D2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923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244D">
            <w:pPr>
              <w:jc w:val="center"/>
            </w:pPr>
            <w:r>
              <w:rPr>
                <w:rFonts w:ascii="宋体" w:hAnsi="宋体" w:eastAsia="宋体"/>
                <w:sz w:val="16"/>
              </w:rPr>
              <w:t>发射机满调制播出率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EDB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D1D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F31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82DC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240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B837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FB5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32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01D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D0F0F">
            <w:pPr>
              <w:jc w:val="center"/>
            </w:pPr>
          </w:p>
        </w:tc>
      </w:tr>
      <w:tr w14:paraId="4B698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3CD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5F1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AB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E1A49">
            <w:pPr>
              <w:jc w:val="center"/>
            </w:pPr>
            <w:r>
              <w:rPr>
                <w:rFonts w:ascii="宋体" w:hAnsi="宋体" w:eastAsia="宋体"/>
                <w:sz w:val="16"/>
              </w:rPr>
              <w:t>发射机满时间播出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CAD12">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A4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D053C">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1AA3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77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0C51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0580">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4C1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CD3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7926">
            <w:pPr>
              <w:jc w:val="center"/>
            </w:pPr>
          </w:p>
        </w:tc>
      </w:tr>
      <w:tr w14:paraId="63C137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46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BE7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E9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75A1">
            <w:pPr>
              <w:jc w:val="center"/>
            </w:pPr>
            <w:r>
              <w:rPr>
                <w:rFonts w:ascii="宋体" w:hAnsi="宋体" w:eastAsia="宋体"/>
                <w:sz w:val="16"/>
              </w:rPr>
              <w:t>发射机及附属设备设施完好率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A596">
            <w:pPr>
              <w:jc w:val="center"/>
            </w:pPr>
            <w:r>
              <w:rPr>
                <w:rFonts w:ascii="宋体" w:hAnsi="宋体" w:eastAsia="宋体"/>
                <w:sz w:val="16"/>
              </w:rPr>
              <w:t>&gt;=95.50%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69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295A">
            <w:pPr>
              <w:jc w:val="center"/>
            </w:pPr>
            <w:r>
              <w:rPr>
                <w:rFonts w:ascii="宋体" w:hAnsi="宋体" w:eastAsia="宋体"/>
                <w:sz w:val="16"/>
              </w:rPr>
              <w:t>&gt;=95.50%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FA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548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734D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6508">
            <w:pPr>
              <w:jc w:val="center"/>
            </w:pPr>
            <w:r>
              <w:rPr>
                <w:rFonts w:ascii="宋体" w:hAnsi="宋体" w:eastAsia="宋体"/>
                <w:sz w:val="16"/>
              </w:rPr>
              <w:t>=95.5%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9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FD2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218EE">
            <w:pPr>
              <w:jc w:val="center"/>
            </w:pPr>
          </w:p>
        </w:tc>
      </w:tr>
      <w:tr w14:paraId="66819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F81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5EA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D1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33F0">
            <w:pPr>
              <w:jc w:val="center"/>
            </w:pPr>
            <w:r>
              <w:rPr>
                <w:rFonts w:ascii="宋体" w:hAnsi="宋体" w:eastAsia="宋体"/>
                <w:sz w:val="16"/>
              </w:rPr>
              <w:t>系统运行维护响应时间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6ED8">
            <w:pPr>
              <w:jc w:val="center"/>
            </w:pPr>
            <w:r>
              <w:rPr>
                <w:rFonts w:ascii="宋体" w:hAnsi="宋体" w:eastAsia="宋体"/>
                <w:sz w:val="16"/>
              </w:rPr>
              <w:t>&gt;=72小时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4FF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6E331">
            <w:pPr>
              <w:jc w:val="center"/>
            </w:pPr>
            <w:r>
              <w:rPr>
                <w:rFonts w:ascii="宋体" w:hAnsi="宋体" w:eastAsia="宋体"/>
                <w:sz w:val="16"/>
              </w:rPr>
              <w:t>&gt;=72小时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E6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38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7A2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775F">
            <w:pPr>
              <w:jc w:val="center"/>
            </w:pPr>
            <w:r>
              <w:rPr>
                <w:rFonts w:ascii="宋体" w:hAnsi="宋体" w:eastAsia="宋体"/>
                <w:sz w:val="16"/>
              </w:rPr>
              <w:t>=72小时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02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769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58FE">
            <w:pPr>
              <w:jc w:val="center"/>
            </w:pPr>
          </w:p>
        </w:tc>
      </w:tr>
      <w:tr w14:paraId="2459A1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28F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D993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7084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F90CC">
            <w:pPr>
              <w:jc w:val="center"/>
            </w:pPr>
            <w:r>
              <w:rPr>
                <w:rFonts w:ascii="宋体" w:hAnsi="宋体" w:eastAsia="宋体"/>
                <w:sz w:val="16"/>
              </w:rPr>
              <w:t>设备维护费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A14B1">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C60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BD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CF3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FB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36A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253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FD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3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1509">
            <w:pPr>
              <w:jc w:val="center"/>
            </w:pPr>
          </w:p>
        </w:tc>
      </w:tr>
      <w:tr w14:paraId="67FF5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CA5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EF8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4F9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5A79">
            <w:pPr>
              <w:jc w:val="center"/>
            </w:pPr>
            <w:r>
              <w:rPr>
                <w:rFonts w:ascii="宋体" w:hAnsi="宋体" w:eastAsia="宋体"/>
                <w:sz w:val="16"/>
              </w:rPr>
              <w:t>使用电费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1DF3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670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038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E1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56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20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63AD">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60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9B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37B5">
            <w:pPr>
              <w:jc w:val="center"/>
            </w:pPr>
          </w:p>
        </w:tc>
      </w:tr>
      <w:tr w14:paraId="6AE750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174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AFE7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0A46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59C4">
            <w:pPr>
              <w:jc w:val="center"/>
            </w:pPr>
            <w:r>
              <w:rPr>
                <w:rFonts w:ascii="宋体" w:hAnsi="宋体" w:eastAsia="宋体"/>
                <w:sz w:val="16"/>
              </w:rPr>
              <w:t>年度维护成本增长率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2AB0">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D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165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2D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69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5D6D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A3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97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1D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B2B02">
            <w:pPr>
              <w:jc w:val="center"/>
            </w:pPr>
          </w:p>
        </w:tc>
      </w:tr>
      <w:tr w14:paraId="6127BC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F49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6EC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BA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16DE">
            <w:pPr>
              <w:jc w:val="center"/>
            </w:pPr>
            <w:r>
              <w:rPr>
                <w:rFonts w:ascii="宋体" w:hAnsi="宋体" w:eastAsia="宋体"/>
                <w:sz w:val="16"/>
              </w:rPr>
              <w:t>为农村地区广播电视基本公共服务提供无线传输保障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D729">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D3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450B3">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90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E16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93EB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0469A">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41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C7D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DAC5">
            <w:pPr>
              <w:jc w:val="center"/>
            </w:pPr>
          </w:p>
        </w:tc>
      </w:tr>
      <w:tr w14:paraId="19FDDD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263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22F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79C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7AC3C">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F99F">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13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D7A57">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AA1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C85A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0914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7569">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71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A4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9F28">
            <w:pPr>
              <w:jc w:val="center"/>
            </w:pPr>
          </w:p>
        </w:tc>
      </w:tr>
      <w:tr w14:paraId="2D4B23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3464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84C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D42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3F3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14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C51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B1F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7B43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C52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E4B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F56BB0"/>
        </w:tc>
      </w:tr>
    </w:tbl>
    <w:p w14:paraId="25F68026">
      <w:pPr>
        <w:spacing w:line="580" w:lineRule="exact"/>
        <w:ind w:firstLine="640"/>
        <w:jc w:val="both"/>
      </w:pPr>
    </w:p>
    <w:p w14:paraId="6B4E7E91">
      <w:r>
        <w:br w:type="page"/>
      </w:r>
    </w:p>
    <w:p w14:paraId="2DE6C645">
      <w:pPr>
        <w:spacing w:line="640" w:lineRule="exact"/>
        <w:ind w:firstLine="640"/>
        <w:jc w:val="both"/>
        <w:outlineLvl w:val="2"/>
      </w:pPr>
      <w:r>
        <w:rPr>
          <w:rFonts w:ascii="黑体" w:hAnsi="黑体" w:eastAsia="黑体"/>
          <w:sz w:val="32"/>
        </w:rPr>
        <w:t>十二、其他需说明的事项</w:t>
      </w:r>
    </w:p>
    <w:p w14:paraId="3FDF20E0">
      <w:pPr>
        <w:spacing w:line="580" w:lineRule="exact"/>
        <w:ind w:firstLine="640"/>
        <w:jc w:val="both"/>
      </w:pPr>
      <w:r>
        <w:rPr>
          <w:rFonts w:ascii="仿宋_GB2312" w:hAnsi="仿宋_GB2312" w:eastAsia="仿宋_GB2312"/>
          <w:b w:val="0"/>
          <w:sz w:val="32"/>
        </w:rPr>
        <w:t>本部门</w:t>
      </w:r>
      <w:r>
        <w:rPr>
          <w:rFonts w:hint="eastAsia" w:ascii="仿宋_GB2312" w:hAnsi="仿宋_GB2312" w:eastAsia="仿宋_GB2312"/>
          <w:b w:val="0"/>
          <w:sz w:val="32"/>
          <w:lang w:val="en-US" w:eastAsia="zh-CN"/>
        </w:rPr>
        <w:t>未开展整体绩效评价，整体绩效自评表由各单位自行公开</w:t>
      </w:r>
      <w:r>
        <w:rPr>
          <w:rFonts w:ascii="仿宋_GB2312" w:hAnsi="仿宋_GB2312" w:eastAsia="仿宋_GB2312"/>
          <w:b w:val="0"/>
          <w:sz w:val="32"/>
        </w:rPr>
        <w:t>。</w:t>
      </w:r>
      <w:bookmarkStart w:id="0" w:name="_GoBack"/>
      <w:bookmarkEnd w:id="0"/>
    </w:p>
    <w:p w14:paraId="4F1A1DE1">
      <w:r>
        <w:br w:type="page"/>
      </w:r>
    </w:p>
    <w:p w14:paraId="655D13A3">
      <w:pPr>
        <w:spacing w:line="240" w:lineRule="auto"/>
        <w:jc w:val="center"/>
        <w:outlineLvl w:val="1"/>
      </w:pPr>
      <w:r>
        <w:rPr>
          <w:rFonts w:ascii="黑体" w:hAnsi="黑体" w:eastAsia="黑体"/>
          <w:sz w:val="32"/>
        </w:rPr>
        <w:t>第三部分 专业名词解释</w:t>
      </w:r>
    </w:p>
    <w:p w14:paraId="21169EB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776F3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AB0A0C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32B133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C48877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B211D6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09D27D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AC4AE6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EC3045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EF0448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DD28A4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93A481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13D43C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2F7AA2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E2D1BD7">
      <w:r>
        <w:br w:type="page"/>
      </w:r>
    </w:p>
    <w:p w14:paraId="300B92D6">
      <w:pPr>
        <w:spacing w:line="240" w:lineRule="auto"/>
        <w:jc w:val="center"/>
        <w:outlineLvl w:val="1"/>
      </w:pPr>
      <w:r>
        <w:rPr>
          <w:rFonts w:ascii="黑体" w:hAnsi="黑体" w:eastAsia="黑体"/>
          <w:sz w:val="32"/>
        </w:rPr>
        <w:t>第四部分 部门决算报表（见附表）</w:t>
      </w:r>
    </w:p>
    <w:p w14:paraId="35234240">
      <w:pPr>
        <w:spacing w:line="240" w:lineRule="auto"/>
        <w:ind w:firstLine="640"/>
        <w:jc w:val="both"/>
      </w:pPr>
      <w:r>
        <w:rPr>
          <w:rFonts w:ascii="仿宋_GB2312" w:hAnsi="仿宋_GB2312" w:eastAsia="仿宋_GB2312"/>
          <w:b w:val="0"/>
          <w:sz w:val="32"/>
        </w:rPr>
        <w:t>一、《收入支出决算总表》</w:t>
      </w:r>
    </w:p>
    <w:p w14:paraId="6A50F3C6">
      <w:pPr>
        <w:spacing w:line="240" w:lineRule="auto"/>
        <w:ind w:firstLine="640"/>
        <w:jc w:val="both"/>
      </w:pPr>
      <w:r>
        <w:rPr>
          <w:rFonts w:ascii="仿宋_GB2312" w:hAnsi="仿宋_GB2312" w:eastAsia="仿宋_GB2312"/>
          <w:b w:val="0"/>
          <w:sz w:val="32"/>
        </w:rPr>
        <w:t>二、《收入决算表》</w:t>
      </w:r>
    </w:p>
    <w:p w14:paraId="618B25D5">
      <w:pPr>
        <w:spacing w:line="240" w:lineRule="auto"/>
        <w:ind w:firstLine="640"/>
        <w:jc w:val="both"/>
      </w:pPr>
      <w:r>
        <w:rPr>
          <w:rFonts w:ascii="仿宋_GB2312" w:hAnsi="仿宋_GB2312" w:eastAsia="仿宋_GB2312"/>
          <w:b w:val="0"/>
          <w:sz w:val="32"/>
        </w:rPr>
        <w:t>三、《支出决算表》</w:t>
      </w:r>
    </w:p>
    <w:p w14:paraId="2FA5F00F">
      <w:pPr>
        <w:spacing w:line="240" w:lineRule="auto"/>
        <w:ind w:firstLine="640"/>
        <w:jc w:val="both"/>
      </w:pPr>
      <w:r>
        <w:rPr>
          <w:rFonts w:ascii="仿宋_GB2312" w:hAnsi="仿宋_GB2312" w:eastAsia="仿宋_GB2312"/>
          <w:b w:val="0"/>
          <w:sz w:val="32"/>
        </w:rPr>
        <w:t>四、《财政拨款收入支出决算总表》</w:t>
      </w:r>
    </w:p>
    <w:p w14:paraId="308D7467">
      <w:pPr>
        <w:spacing w:line="240" w:lineRule="auto"/>
        <w:ind w:firstLine="640"/>
        <w:jc w:val="both"/>
      </w:pPr>
      <w:r>
        <w:rPr>
          <w:rFonts w:ascii="仿宋_GB2312" w:hAnsi="仿宋_GB2312" w:eastAsia="仿宋_GB2312"/>
          <w:b w:val="0"/>
          <w:sz w:val="32"/>
        </w:rPr>
        <w:t>五、《一般公共预算财政拨款支出决算表》</w:t>
      </w:r>
    </w:p>
    <w:p w14:paraId="5AF059BF">
      <w:pPr>
        <w:spacing w:line="240" w:lineRule="auto"/>
        <w:ind w:firstLine="640"/>
        <w:jc w:val="both"/>
      </w:pPr>
      <w:r>
        <w:rPr>
          <w:rFonts w:ascii="仿宋_GB2312" w:hAnsi="仿宋_GB2312" w:eastAsia="仿宋_GB2312"/>
          <w:b w:val="0"/>
          <w:sz w:val="32"/>
        </w:rPr>
        <w:t>六、《一般公共预算财政拨款基本支出决算表》</w:t>
      </w:r>
    </w:p>
    <w:p w14:paraId="11A61E6F">
      <w:pPr>
        <w:spacing w:line="240" w:lineRule="auto"/>
        <w:ind w:firstLine="640"/>
        <w:jc w:val="both"/>
      </w:pPr>
      <w:r>
        <w:rPr>
          <w:rFonts w:ascii="仿宋_GB2312" w:hAnsi="仿宋_GB2312" w:eastAsia="仿宋_GB2312"/>
          <w:b w:val="0"/>
          <w:sz w:val="32"/>
        </w:rPr>
        <w:t>七、《政府性基金预算财政拨款收入支出决算表》</w:t>
      </w:r>
    </w:p>
    <w:p w14:paraId="6E588C52">
      <w:pPr>
        <w:spacing w:line="240" w:lineRule="auto"/>
        <w:ind w:firstLine="640"/>
        <w:jc w:val="both"/>
      </w:pPr>
      <w:r>
        <w:rPr>
          <w:rFonts w:ascii="仿宋_GB2312" w:hAnsi="仿宋_GB2312" w:eastAsia="仿宋_GB2312"/>
          <w:b w:val="0"/>
          <w:sz w:val="32"/>
        </w:rPr>
        <w:t>八、《国有资本经营预算财政拨款收入支出决算表》</w:t>
      </w:r>
    </w:p>
    <w:p w14:paraId="2325D56E">
      <w:pPr>
        <w:spacing w:line="240" w:lineRule="auto"/>
        <w:ind w:firstLine="640"/>
        <w:jc w:val="both"/>
      </w:pPr>
      <w:r>
        <w:rPr>
          <w:rFonts w:ascii="仿宋_GB2312" w:hAnsi="仿宋_GB2312" w:eastAsia="仿宋_GB2312"/>
          <w:b w:val="0"/>
          <w:sz w:val="32"/>
        </w:rPr>
        <w:t>九、《财政拨款“三公”经费支出决算表》</w:t>
      </w:r>
    </w:p>
    <w:p w14:paraId="32B01E83">
      <w:pPr>
        <w:spacing w:line="240" w:lineRule="auto"/>
        <w:ind w:firstLine="640"/>
        <w:jc w:val="both"/>
      </w:pPr>
    </w:p>
    <w:p w14:paraId="1D2D8E70">
      <w:pPr>
        <w:spacing w:line="240" w:lineRule="auto"/>
        <w:ind w:firstLine="640"/>
        <w:jc w:val="both"/>
      </w:pPr>
    </w:p>
    <w:p w14:paraId="477AC8F4">
      <w:pPr>
        <w:spacing w:line="240" w:lineRule="auto"/>
        <w:ind w:firstLine="640"/>
        <w:jc w:val="both"/>
      </w:pPr>
    </w:p>
    <w:p w14:paraId="4EC2B68D">
      <w:pPr>
        <w:spacing w:line="240" w:lineRule="auto"/>
        <w:ind w:firstLine="640"/>
        <w:jc w:val="both"/>
      </w:pPr>
    </w:p>
    <w:p w14:paraId="6C270AC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8A2AA7-14BC-4C03-9CA0-9B160DDA29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6A2F9D4-95EC-4F23-8AED-F21F8178F0D1}"/>
  </w:font>
  <w:font w:name="仿宋_GB2312">
    <w:panose1 w:val="02010609030101010101"/>
    <w:charset w:val="86"/>
    <w:family w:val="modern"/>
    <w:pitch w:val="default"/>
    <w:sig w:usb0="00000001" w:usb1="080E0000" w:usb2="00000000" w:usb3="00000000" w:csb0="00040000" w:csb1="00000000"/>
    <w:embedRegular r:id="rId3" w:fontKey="{A4D0E7F8-67DD-4F3D-82EB-A5073FD32ACD}"/>
  </w:font>
  <w:font w:name="楷体_GB2312">
    <w:panose1 w:val="02010609030101010101"/>
    <w:charset w:val="86"/>
    <w:family w:val="auto"/>
    <w:pitch w:val="default"/>
    <w:sig w:usb0="00000001" w:usb1="080E0000" w:usb2="00000000" w:usb3="00000000" w:csb0="00040000" w:csb1="00000000"/>
    <w:embedRegular r:id="rId4" w:fontKey="{0063CFEF-B225-4C04-81AB-F4A03E75D3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78A289D"/>
    <w:rsid w:val="19071D6C"/>
    <w:rsid w:val="19B5554D"/>
    <w:rsid w:val="1A867BED"/>
    <w:rsid w:val="1B8F2D19"/>
    <w:rsid w:val="1C317E4F"/>
    <w:rsid w:val="1C472464"/>
    <w:rsid w:val="1D2D4C5B"/>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57C0AAC"/>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3E4377"/>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5821</Words>
  <Characters>6602</Characters>
  <Lines>0</Lines>
  <Paragraphs>0</Paragraphs>
  <TotalTime>3</TotalTime>
  <ScaleCrop>false</ScaleCrop>
  <LinksUpToDate>false</LinksUpToDate>
  <CharactersWithSpaces>6612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2025-10-31T02:40:17Z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