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中共且末县委员会宣传部本级2024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1E9F719">
      <w:r>
        <w:br w:type="page"/>
      </w:r>
    </w:p>
    <w:p w14:paraId="59A8985D">
      <w:pPr>
        <w:spacing w:line="640" w:lineRule="exact"/>
        <w:jc w:val="center"/>
        <w:outlineLvl w:val="1"/>
      </w:pPr>
      <w:r>
        <w:rPr>
          <w:rFonts w:ascii="黑体" w:hAnsi="黑体" w:eastAsia="黑体"/>
          <w:sz w:val="32"/>
        </w:rPr>
        <w:t>第一部分 单位概况</w:t>
      </w:r>
    </w:p>
    <w:p w14:paraId="5B93F084">
      <w:pPr>
        <w:spacing w:line="640" w:lineRule="exact"/>
        <w:ind w:firstLine="640"/>
        <w:jc w:val="both"/>
        <w:outlineLvl w:val="2"/>
      </w:pPr>
      <w:r>
        <w:rPr>
          <w:rFonts w:ascii="黑体" w:hAnsi="黑体" w:eastAsia="黑体"/>
          <w:sz w:val="32"/>
        </w:rPr>
        <w:t>一、主要职能</w:t>
      </w:r>
    </w:p>
    <w:p w14:paraId="376CED34">
      <w:pPr>
        <w:spacing w:line="580" w:lineRule="exact"/>
        <w:ind w:firstLine="640"/>
        <w:jc w:val="both"/>
      </w:pPr>
      <w:r>
        <w:rPr>
          <w:rFonts w:ascii="仿宋_GB2312" w:hAnsi="仿宋_GB2312" w:eastAsia="仿宋_GB2312"/>
          <w:sz w:val="32"/>
        </w:rPr>
        <w:t>负责全县宣传思想文化工作和全县中心组学习的指导督查工作；负责全县意识形态领域工作；负责文化市场的管理；指导全县精神文明建设活动，组织实施对外宣传工作，组织、协调对外宣传报道；做好宣传信息收集和报送等工作。</w:t>
      </w:r>
    </w:p>
    <w:p w14:paraId="413A29D2">
      <w:pPr>
        <w:spacing w:line="640" w:lineRule="exact"/>
        <w:ind w:firstLine="640"/>
        <w:jc w:val="both"/>
        <w:outlineLvl w:val="2"/>
      </w:pPr>
      <w:r>
        <w:rPr>
          <w:rFonts w:ascii="黑体" w:hAnsi="黑体" w:eastAsia="黑体"/>
          <w:sz w:val="32"/>
        </w:rPr>
        <w:t>二、机构设置及人员情况</w:t>
      </w:r>
    </w:p>
    <w:p w14:paraId="340BDAA5">
      <w:pPr>
        <w:spacing w:line="580" w:lineRule="exact"/>
        <w:ind w:firstLine="640"/>
        <w:jc w:val="both"/>
      </w:pPr>
      <w:r>
        <w:rPr>
          <w:rFonts w:ascii="仿宋_GB2312" w:hAnsi="仿宋_GB2312" w:eastAsia="仿宋_GB2312"/>
          <w:sz w:val="32"/>
        </w:rPr>
        <w:t>中共且末县委员会宣传部本级2024年度，实有人数15人，其中：在职人员12人，增加2人；离休人员0人，增加0人；退休人员3人,增加0人。</w:t>
      </w:r>
    </w:p>
    <w:p w14:paraId="5ACFEE87">
      <w:pPr>
        <w:spacing w:line="580" w:lineRule="exact"/>
        <w:ind w:firstLine="640"/>
        <w:jc w:val="both"/>
      </w:pPr>
      <w:r>
        <w:rPr>
          <w:rFonts w:ascii="仿宋_GB2312" w:hAnsi="仿宋_GB2312" w:eastAsia="仿宋_GB2312"/>
          <w:sz w:val="32"/>
        </w:rPr>
        <w:t>中共且末县委员会宣传部本级无下属预算单位，下设4个科室，分别是：且末县委外宣办、且末县社会科学界联合会、且末县宣传文化产品鉴定中心、且末县新时代文明实践促进中心。</w:t>
      </w:r>
    </w:p>
    <w:p w14:paraId="2980A6D6">
      <w:r>
        <w:br w:type="page"/>
      </w:r>
    </w:p>
    <w:p w14:paraId="45E7B609">
      <w:pPr>
        <w:spacing w:line="240" w:lineRule="auto"/>
        <w:jc w:val="center"/>
        <w:outlineLvl w:val="1"/>
      </w:pPr>
      <w:r>
        <w:rPr>
          <w:rFonts w:ascii="黑体" w:hAnsi="黑体" w:eastAsia="黑体"/>
          <w:sz w:val="32"/>
        </w:rPr>
        <w:t>第二部分 部门决算情况说明</w:t>
      </w:r>
    </w:p>
    <w:p w14:paraId="4D0AC6B4">
      <w:pPr>
        <w:spacing w:line="640" w:lineRule="exact"/>
        <w:ind w:firstLine="640"/>
        <w:jc w:val="both"/>
        <w:outlineLvl w:val="2"/>
      </w:pPr>
      <w:r>
        <w:rPr>
          <w:rFonts w:ascii="黑体" w:hAnsi="黑体" w:eastAsia="黑体"/>
          <w:sz w:val="32"/>
        </w:rPr>
        <w:t>一、收入支出决算总体情况说明</w:t>
      </w:r>
    </w:p>
    <w:p w14:paraId="248D873E">
      <w:pPr>
        <w:spacing w:line="580" w:lineRule="exact"/>
        <w:ind w:firstLine="640"/>
        <w:jc w:val="both"/>
      </w:pPr>
      <w:r>
        <w:rPr>
          <w:rFonts w:ascii="仿宋_GB2312" w:hAnsi="仿宋_GB2312" w:eastAsia="仿宋_GB2312"/>
          <w:b/>
          <w:sz w:val="32"/>
        </w:rPr>
        <w:t>2024年度收入总计201.04万元，</w:t>
      </w:r>
      <w:r>
        <w:rPr>
          <w:rFonts w:ascii="仿宋_GB2312" w:hAnsi="仿宋_GB2312" w:eastAsia="仿宋_GB2312"/>
          <w:b w:val="0"/>
          <w:sz w:val="32"/>
        </w:rPr>
        <w:t>其中：本年收入合计201.04万元，使用非财政拨款结余（含专用结余）0.00万元，年初结转和结余0.00万元。</w:t>
      </w:r>
    </w:p>
    <w:p w14:paraId="50CD3417">
      <w:pPr>
        <w:spacing w:line="580" w:lineRule="exact"/>
        <w:ind w:firstLine="640"/>
        <w:jc w:val="both"/>
      </w:pPr>
      <w:r>
        <w:rPr>
          <w:rFonts w:ascii="仿宋_GB2312" w:hAnsi="仿宋_GB2312" w:eastAsia="仿宋_GB2312"/>
          <w:b/>
          <w:sz w:val="32"/>
        </w:rPr>
        <w:t>2024年度支出总计201.04万元，</w:t>
      </w:r>
      <w:r>
        <w:rPr>
          <w:rFonts w:ascii="仿宋_GB2312" w:hAnsi="仿宋_GB2312" w:eastAsia="仿宋_GB2312"/>
          <w:b w:val="0"/>
          <w:sz w:val="32"/>
        </w:rPr>
        <w:t>其中：本年支出合计201.04万元，结余分配0.00万元，年末结转和结余0.00万元。</w:t>
      </w:r>
    </w:p>
    <w:p w14:paraId="62B95CFD">
      <w:pPr>
        <w:spacing w:line="580" w:lineRule="exact"/>
        <w:ind w:firstLine="640"/>
        <w:jc w:val="both"/>
      </w:pPr>
      <w:r>
        <w:rPr>
          <w:rFonts w:ascii="仿宋_GB2312" w:hAnsi="仿宋_GB2312" w:eastAsia="仿宋_GB2312"/>
          <w:b w:val="0"/>
          <w:sz w:val="32"/>
        </w:rPr>
        <w:t>收入支出总体与上年相比，减少34.82万元，下降14.76%，主要原因是：一是县级配套项目、外宣经费、文明城市创建经费减少；二是</w:t>
      </w:r>
      <w:r>
        <w:rPr>
          <w:rFonts w:hint="eastAsia" w:ascii="仿宋_GB2312" w:hAnsi="仿宋_GB2312" w:eastAsia="仿宋_GB2312"/>
          <w:b w:val="0"/>
          <w:sz w:val="32"/>
          <w:lang w:val="en-US" w:eastAsia="zh-CN"/>
        </w:rPr>
        <w:t>上年</w:t>
      </w:r>
      <w:r>
        <w:rPr>
          <w:rFonts w:ascii="仿宋_GB2312" w:hAnsi="仿宋_GB2312" w:eastAsia="仿宋_GB2312"/>
          <w:b w:val="0"/>
          <w:sz w:val="32"/>
        </w:rPr>
        <w:t>补发</w:t>
      </w:r>
      <w:r>
        <w:rPr>
          <w:rFonts w:hint="eastAsia" w:ascii="仿宋_GB2312" w:hAnsi="仿宋_GB2312" w:eastAsia="仿宋_GB2312"/>
          <w:b w:val="0"/>
          <w:sz w:val="32"/>
          <w:lang w:val="en-US" w:eastAsia="zh-CN"/>
        </w:rPr>
        <w:t>绩效</w:t>
      </w:r>
      <w:r>
        <w:rPr>
          <w:rFonts w:ascii="仿宋_GB2312" w:hAnsi="仿宋_GB2312" w:eastAsia="仿宋_GB2312"/>
          <w:b w:val="0"/>
          <w:sz w:val="32"/>
        </w:rPr>
        <w:t>工资</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本年度正常发放绩效工资，导致经费</w:t>
      </w:r>
      <w:r>
        <w:rPr>
          <w:rFonts w:ascii="仿宋_GB2312" w:hAnsi="仿宋_GB2312" w:eastAsia="仿宋_GB2312"/>
          <w:b w:val="0"/>
          <w:sz w:val="32"/>
        </w:rPr>
        <w:t>较上年减少。</w:t>
      </w:r>
    </w:p>
    <w:p w14:paraId="259D2BC0">
      <w:pPr>
        <w:spacing w:line="640" w:lineRule="exact"/>
        <w:ind w:firstLine="640"/>
        <w:jc w:val="both"/>
        <w:outlineLvl w:val="2"/>
      </w:pPr>
      <w:r>
        <w:rPr>
          <w:rFonts w:ascii="黑体" w:hAnsi="黑体" w:eastAsia="黑体"/>
          <w:sz w:val="32"/>
        </w:rPr>
        <w:t>二、收入决算情况说明</w:t>
      </w:r>
    </w:p>
    <w:p w14:paraId="769AD330">
      <w:pPr>
        <w:spacing w:line="580" w:lineRule="exact"/>
        <w:ind w:firstLine="640"/>
        <w:jc w:val="both"/>
      </w:pPr>
      <w:r>
        <w:rPr>
          <w:rFonts w:ascii="仿宋_GB2312" w:hAnsi="仿宋_GB2312" w:eastAsia="仿宋_GB2312"/>
          <w:b/>
          <w:sz w:val="32"/>
        </w:rPr>
        <w:t>本年收入201.04万元，</w:t>
      </w:r>
      <w:r>
        <w:rPr>
          <w:rFonts w:ascii="仿宋_GB2312" w:hAnsi="仿宋_GB2312" w:eastAsia="仿宋_GB2312"/>
          <w:b w:val="0"/>
          <w:sz w:val="32"/>
        </w:rPr>
        <w:t>其中：财政拨款收入200.82万元，占99.89%；上级补助收入0.00万元，占0.00%；事业收入0.00万元，占0.00%；经营收入0.00万元，占0.00%；附属单位上缴收入0.00万元，占0.00%；其他收入0.22万元，占0.11%。</w:t>
      </w:r>
    </w:p>
    <w:p w14:paraId="13223252">
      <w:pPr>
        <w:spacing w:line="640" w:lineRule="exact"/>
        <w:ind w:firstLine="640"/>
        <w:jc w:val="both"/>
        <w:outlineLvl w:val="2"/>
      </w:pPr>
      <w:r>
        <w:rPr>
          <w:rFonts w:ascii="黑体" w:hAnsi="黑体" w:eastAsia="黑体"/>
          <w:sz w:val="32"/>
        </w:rPr>
        <w:t>三、支出决算情况说明</w:t>
      </w:r>
    </w:p>
    <w:p w14:paraId="27337FD1">
      <w:pPr>
        <w:spacing w:line="580" w:lineRule="exact"/>
        <w:ind w:firstLine="640"/>
        <w:jc w:val="both"/>
      </w:pPr>
      <w:r>
        <w:rPr>
          <w:rFonts w:ascii="仿宋_GB2312" w:hAnsi="仿宋_GB2312" w:eastAsia="仿宋_GB2312"/>
          <w:b/>
          <w:sz w:val="32"/>
        </w:rPr>
        <w:t>本年支出201.04万元，</w:t>
      </w:r>
      <w:r>
        <w:rPr>
          <w:rFonts w:ascii="仿宋_GB2312" w:hAnsi="仿宋_GB2312" w:eastAsia="仿宋_GB2312"/>
          <w:b w:val="0"/>
          <w:sz w:val="32"/>
        </w:rPr>
        <w:t>其中：基本支出195.04万元，占97.02%；项目支出6.00万元，占2.98%；上缴上级支出0.00万元，占0.00%；经营支出0.00万元，占0.00%；对附属单位补助支出0.00万元，占0.00%。</w:t>
      </w:r>
    </w:p>
    <w:p w14:paraId="6C89FC3A">
      <w:pPr>
        <w:spacing w:line="640" w:lineRule="exact"/>
        <w:ind w:firstLine="640"/>
        <w:jc w:val="both"/>
        <w:outlineLvl w:val="2"/>
      </w:pPr>
      <w:r>
        <w:rPr>
          <w:rFonts w:ascii="黑体" w:hAnsi="黑体" w:eastAsia="黑体"/>
          <w:sz w:val="32"/>
        </w:rPr>
        <w:t>四、财政拨款收入支出决算总体情况说明</w:t>
      </w:r>
    </w:p>
    <w:p w14:paraId="0A8E0CF7">
      <w:pPr>
        <w:spacing w:line="580" w:lineRule="exact"/>
        <w:ind w:firstLine="640"/>
        <w:jc w:val="both"/>
      </w:pPr>
      <w:r>
        <w:rPr>
          <w:rFonts w:ascii="仿宋_GB2312" w:hAnsi="仿宋_GB2312" w:eastAsia="仿宋_GB2312"/>
          <w:b/>
          <w:sz w:val="32"/>
        </w:rPr>
        <w:t>2024年度财政拨款收入总计200.82万元，</w:t>
      </w:r>
      <w:r>
        <w:rPr>
          <w:rFonts w:ascii="仿宋_GB2312" w:hAnsi="仿宋_GB2312" w:eastAsia="仿宋_GB2312"/>
          <w:b w:val="0"/>
          <w:sz w:val="32"/>
        </w:rPr>
        <w:t>其中：年初财政拨款结转和结余0.00万元，本年财政拨款收入200.82万元。</w:t>
      </w:r>
      <w:r>
        <w:rPr>
          <w:rFonts w:ascii="仿宋_GB2312" w:hAnsi="仿宋_GB2312" w:eastAsia="仿宋_GB2312"/>
          <w:b/>
          <w:sz w:val="32"/>
        </w:rPr>
        <w:t>财政拨款支出总计200.82万元，</w:t>
      </w:r>
      <w:r>
        <w:rPr>
          <w:rFonts w:ascii="仿宋_GB2312" w:hAnsi="仿宋_GB2312" w:eastAsia="仿宋_GB2312"/>
          <w:b w:val="0"/>
          <w:sz w:val="32"/>
        </w:rPr>
        <w:t>其中：年末财政拨款结转和结余0.00万元，本年财政拨款支出200.82万元。</w:t>
      </w:r>
    </w:p>
    <w:p w14:paraId="7FBFA96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减少35.04万元，下降14.86%，主要原因是：一是县级配套项目、外宣经费、文明城市创建经费减少；二是</w:t>
      </w:r>
      <w:r>
        <w:rPr>
          <w:rFonts w:hint="eastAsia" w:ascii="仿宋_GB2312" w:hAnsi="仿宋_GB2312" w:eastAsia="仿宋_GB2312"/>
          <w:b w:val="0"/>
          <w:sz w:val="32"/>
          <w:lang w:val="en-US" w:eastAsia="zh-CN"/>
        </w:rPr>
        <w:t>上年</w:t>
      </w:r>
      <w:r>
        <w:rPr>
          <w:rFonts w:ascii="仿宋_GB2312" w:hAnsi="仿宋_GB2312" w:eastAsia="仿宋_GB2312"/>
          <w:b w:val="0"/>
          <w:sz w:val="32"/>
        </w:rPr>
        <w:t>补发</w:t>
      </w:r>
      <w:r>
        <w:rPr>
          <w:rFonts w:hint="eastAsia" w:ascii="仿宋_GB2312" w:hAnsi="仿宋_GB2312" w:eastAsia="仿宋_GB2312"/>
          <w:b w:val="0"/>
          <w:sz w:val="32"/>
          <w:lang w:val="en-US" w:eastAsia="zh-CN"/>
        </w:rPr>
        <w:t>绩效</w:t>
      </w:r>
      <w:r>
        <w:rPr>
          <w:rFonts w:ascii="仿宋_GB2312" w:hAnsi="仿宋_GB2312" w:eastAsia="仿宋_GB2312"/>
          <w:b w:val="0"/>
          <w:sz w:val="32"/>
        </w:rPr>
        <w:t>工资</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本年度正常发放绩效工资，导致经费</w:t>
      </w:r>
      <w:r>
        <w:rPr>
          <w:rFonts w:ascii="仿宋_GB2312" w:hAnsi="仿宋_GB2312" w:eastAsia="仿宋_GB2312"/>
          <w:b w:val="0"/>
          <w:sz w:val="32"/>
        </w:rPr>
        <w:t>较上年减少。</w:t>
      </w:r>
      <w:r>
        <w:rPr>
          <w:rFonts w:ascii="仿宋_GB2312" w:hAnsi="仿宋_GB2312" w:eastAsia="仿宋_GB2312"/>
          <w:b/>
          <w:sz w:val="32"/>
        </w:rPr>
        <w:t>与年初预算相比，</w:t>
      </w:r>
      <w:r>
        <w:rPr>
          <w:rFonts w:ascii="仿宋_GB2312" w:hAnsi="仿宋_GB2312" w:eastAsia="仿宋_GB2312"/>
          <w:b w:val="0"/>
          <w:sz w:val="32"/>
        </w:rPr>
        <w:t>年初预算数204.33万元，决算数200.82万元，预决算差异率-1.72%，主要原因是：严格落实中央八项规定精神，厉行节约，减少不必要的开支。</w:t>
      </w:r>
    </w:p>
    <w:p w14:paraId="2C08060F">
      <w:pPr>
        <w:spacing w:line="640" w:lineRule="exact"/>
        <w:ind w:firstLine="640"/>
        <w:jc w:val="both"/>
        <w:outlineLvl w:val="2"/>
      </w:pPr>
      <w:r>
        <w:rPr>
          <w:rFonts w:ascii="黑体" w:hAnsi="黑体" w:eastAsia="黑体"/>
          <w:sz w:val="32"/>
        </w:rPr>
        <w:t>五、一般公共预算财政拨款支出决算情况说明</w:t>
      </w:r>
    </w:p>
    <w:p w14:paraId="302D5314">
      <w:pPr>
        <w:spacing w:line="640" w:lineRule="exact"/>
        <w:ind w:firstLine="640"/>
        <w:jc w:val="both"/>
        <w:outlineLvl w:val="3"/>
      </w:pPr>
      <w:r>
        <w:rPr>
          <w:rFonts w:ascii="楷体_GB2312" w:hAnsi="楷体_GB2312" w:eastAsia="楷体_GB2312"/>
          <w:b/>
          <w:sz w:val="32"/>
        </w:rPr>
        <w:t>（一）一般公共预算财政拨款支出决算总体情况</w:t>
      </w:r>
    </w:p>
    <w:p w14:paraId="5D3C3002">
      <w:pPr>
        <w:spacing w:line="580" w:lineRule="exact"/>
        <w:ind w:firstLine="640"/>
        <w:jc w:val="both"/>
      </w:pPr>
      <w:r>
        <w:rPr>
          <w:rFonts w:ascii="仿宋_GB2312" w:hAnsi="仿宋_GB2312" w:eastAsia="仿宋_GB2312"/>
          <w:b/>
          <w:sz w:val="32"/>
        </w:rPr>
        <w:t>2024年度一般公共预算财政拨款支出200.82万元，</w:t>
      </w:r>
      <w:r>
        <w:rPr>
          <w:rFonts w:ascii="仿宋_GB2312" w:hAnsi="仿宋_GB2312" w:eastAsia="仿宋_GB2312"/>
          <w:b w:val="0"/>
          <w:sz w:val="32"/>
        </w:rPr>
        <w:t>占本年支出合计的99.89%。</w:t>
      </w:r>
      <w:r>
        <w:rPr>
          <w:rFonts w:ascii="仿宋_GB2312" w:hAnsi="仿宋_GB2312" w:eastAsia="仿宋_GB2312"/>
          <w:b/>
          <w:sz w:val="32"/>
        </w:rPr>
        <w:t>与上年相比，</w:t>
      </w:r>
      <w:r>
        <w:rPr>
          <w:rFonts w:ascii="仿宋_GB2312" w:hAnsi="仿宋_GB2312" w:eastAsia="仿宋_GB2312"/>
          <w:b w:val="0"/>
          <w:sz w:val="32"/>
        </w:rPr>
        <w:t>减少35.04万元，下降14.86%，主要原因是：一是县级配套项目、外宣经费、文明城市创建经费减少；二是</w:t>
      </w:r>
      <w:r>
        <w:rPr>
          <w:rFonts w:hint="eastAsia" w:ascii="仿宋_GB2312" w:hAnsi="仿宋_GB2312" w:eastAsia="仿宋_GB2312"/>
          <w:b w:val="0"/>
          <w:sz w:val="32"/>
          <w:lang w:val="en-US" w:eastAsia="zh-CN"/>
        </w:rPr>
        <w:t>上年</w:t>
      </w:r>
      <w:r>
        <w:rPr>
          <w:rFonts w:ascii="仿宋_GB2312" w:hAnsi="仿宋_GB2312" w:eastAsia="仿宋_GB2312"/>
          <w:b w:val="0"/>
          <w:sz w:val="32"/>
        </w:rPr>
        <w:t>补发</w:t>
      </w:r>
      <w:r>
        <w:rPr>
          <w:rFonts w:hint="eastAsia" w:ascii="仿宋_GB2312" w:hAnsi="仿宋_GB2312" w:eastAsia="仿宋_GB2312"/>
          <w:b w:val="0"/>
          <w:sz w:val="32"/>
          <w:lang w:val="en-US" w:eastAsia="zh-CN"/>
        </w:rPr>
        <w:t>绩效</w:t>
      </w:r>
      <w:r>
        <w:rPr>
          <w:rFonts w:ascii="仿宋_GB2312" w:hAnsi="仿宋_GB2312" w:eastAsia="仿宋_GB2312"/>
          <w:b w:val="0"/>
          <w:sz w:val="32"/>
        </w:rPr>
        <w:t>工资</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本年度正常发放绩效工资，导致经费</w:t>
      </w:r>
      <w:r>
        <w:rPr>
          <w:rFonts w:ascii="仿宋_GB2312" w:hAnsi="仿宋_GB2312" w:eastAsia="仿宋_GB2312"/>
          <w:b w:val="0"/>
          <w:sz w:val="32"/>
        </w:rPr>
        <w:t>较上年减少。</w:t>
      </w:r>
      <w:r>
        <w:rPr>
          <w:rFonts w:ascii="仿宋_GB2312" w:hAnsi="仿宋_GB2312" w:eastAsia="仿宋_GB2312"/>
          <w:b/>
          <w:sz w:val="32"/>
        </w:rPr>
        <w:t>与年初预算相比,</w:t>
      </w:r>
      <w:r>
        <w:rPr>
          <w:rFonts w:ascii="仿宋_GB2312" w:hAnsi="仿宋_GB2312" w:eastAsia="仿宋_GB2312"/>
          <w:b w:val="0"/>
          <w:sz w:val="32"/>
        </w:rPr>
        <w:t>年初预算数204.33万元，决算数200.82万元，预决算差异率-1.72%，主要原因是：严格落实中央八项规定精神，厉行节约，减少不必要的开支。</w:t>
      </w:r>
    </w:p>
    <w:p w14:paraId="387355AB">
      <w:pPr>
        <w:spacing w:line="640" w:lineRule="exact"/>
        <w:ind w:firstLine="640"/>
        <w:jc w:val="both"/>
        <w:outlineLvl w:val="3"/>
      </w:pPr>
      <w:r>
        <w:rPr>
          <w:rFonts w:ascii="楷体_GB2312" w:hAnsi="楷体_GB2312" w:eastAsia="楷体_GB2312"/>
          <w:b/>
          <w:sz w:val="32"/>
        </w:rPr>
        <w:t>（二）一般公共预算财政拨款支出决算结构情况</w:t>
      </w:r>
    </w:p>
    <w:p w14:paraId="6FE9E8B7">
      <w:pPr>
        <w:spacing w:line="580" w:lineRule="exact"/>
        <w:ind w:firstLine="640"/>
        <w:jc w:val="both"/>
      </w:pPr>
      <w:r>
        <w:rPr>
          <w:rFonts w:ascii="仿宋_GB2312" w:hAnsi="仿宋_GB2312" w:eastAsia="仿宋_GB2312"/>
          <w:b w:val="0"/>
          <w:sz w:val="32"/>
        </w:rPr>
        <w:t>1.一般公共服务支出(类)145.27万元,占72.34%。</w:t>
      </w:r>
    </w:p>
    <w:p w14:paraId="21447FB2">
      <w:pPr>
        <w:spacing w:line="580" w:lineRule="exact"/>
        <w:ind w:firstLine="640"/>
        <w:jc w:val="both"/>
      </w:pPr>
      <w:r>
        <w:rPr>
          <w:rFonts w:ascii="仿宋_GB2312" w:hAnsi="仿宋_GB2312" w:eastAsia="仿宋_GB2312"/>
          <w:b w:val="0"/>
          <w:sz w:val="32"/>
        </w:rPr>
        <w:t>2.文化旅游体育与传媒支出(类)6.00万元,占2.99%。</w:t>
      </w:r>
    </w:p>
    <w:p w14:paraId="6BCCA181">
      <w:pPr>
        <w:spacing w:line="580" w:lineRule="exact"/>
        <w:ind w:firstLine="640"/>
        <w:jc w:val="both"/>
      </w:pPr>
      <w:r>
        <w:rPr>
          <w:rFonts w:ascii="仿宋_GB2312" w:hAnsi="仿宋_GB2312" w:eastAsia="仿宋_GB2312"/>
          <w:b w:val="0"/>
          <w:sz w:val="32"/>
        </w:rPr>
        <w:t>3.社会保障和就业支出(类)22.24万元,占11.07%。</w:t>
      </w:r>
    </w:p>
    <w:p w14:paraId="2DD24184">
      <w:pPr>
        <w:spacing w:line="580" w:lineRule="exact"/>
        <w:ind w:firstLine="640"/>
        <w:jc w:val="both"/>
      </w:pPr>
      <w:r>
        <w:rPr>
          <w:rFonts w:ascii="仿宋_GB2312" w:hAnsi="仿宋_GB2312" w:eastAsia="仿宋_GB2312"/>
          <w:b w:val="0"/>
          <w:sz w:val="32"/>
        </w:rPr>
        <w:t>4.卫生健康支出(类)11.64万元,占5.80%。</w:t>
      </w:r>
    </w:p>
    <w:p w14:paraId="49EFF28F">
      <w:pPr>
        <w:spacing w:line="580" w:lineRule="exact"/>
        <w:ind w:firstLine="640"/>
        <w:jc w:val="both"/>
      </w:pPr>
      <w:r>
        <w:rPr>
          <w:rFonts w:ascii="仿宋_GB2312" w:hAnsi="仿宋_GB2312" w:eastAsia="仿宋_GB2312"/>
          <w:b w:val="0"/>
          <w:sz w:val="32"/>
        </w:rPr>
        <w:t>5.住房保障支出(类)15.67万元,占7.80%。</w:t>
      </w:r>
    </w:p>
    <w:p w14:paraId="36473FD3">
      <w:pPr>
        <w:spacing w:line="640" w:lineRule="exact"/>
        <w:ind w:firstLine="640"/>
        <w:jc w:val="both"/>
        <w:outlineLvl w:val="3"/>
      </w:pPr>
      <w:r>
        <w:rPr>
          <w:rFonts w:ascii="楷体_GB2312" w:hAnsi="楷体_GB2312" w:eastAsia="楷体_GB2312"/>
          <w:b/>
          <w:sz w:val="32"/>
        </w:rPr>
        <w:t>（三）一般公共预算财政拨款支出决算具体情况</w:t>
      </w:r>
    </w:p>
    <w:p w14:paraId="7AA0C4BF">
      <w:pPr>
        <w:spacing w:line="580" w:lineRule="exact"/>
        <w:ind w:firstLine="640"/>
        <w:jc w:val="both"/>
      </w:pPr>
      <w:r>
        <w:rPr>
          <w:rFonts w:ascii="仿宋_GB2312" w:hAnsi="仿宋_GB2312" w:eastAsia="仿宋_GB2312"/>
          <w:b w:val="0"/>
          <w:sz w:val="32"/>
        </w:rPr>
        <w:t>1.一般公共服务支出(类)宣传事务(款)行政运行(项):支出决算数为145.27万元，比上年决算减少25.67万元，下降15.02%,主要原因是：</w:t>
      </w:r>
      <w:r>
        <w:rPr>
          <w:rFonts w:hint="eastAsia" w:ascii="仿宋_GB2312" w:hAnsi="仿宋_GB2312" w:eastAsia="仿宋_GB2312"/>
          <w:b w:val="0"/>
          <w:sz w:val="32"/>
          <w:lang w:val="en-US" w:eastAsia="zh-CN"/>
        </w:rPr>
        <w:t>上年</w:t>
      </w:r>
      <w:r>
        <w:rPr>
          <w:rFonts w:ascii="仿宋_GB2312" w:hAnsi="仿宋_GB2312" w:eastAsia="仿宋_GB2312"/>
          <w:b w:val="0"/>
          <w:sz w:val="32"/>
        </w:rPr>
        <w:t>补发</w:t>
      </w:r>
      <w:r>
        <w:rPr>
          <w:rFonts w:hint="eastAsia" w:ascii="仿宋_GB2312" w:hAnsi="仿宋_GB2312" w:eastAsia="仿宋_GB2312"/>
          <w:b w:val="0"/>
          <w:sz w:val="32"/>
          <w:lang w:val="en-US" w:eastAsia="zh-CN"/>
        </w:rPr>
        <w:t>绩效</w:t>
      </w:r>
      <w:r>
        <w:rPr>
          <w:rFonts w:ascii="仿宋_GB2312" w:hAnsi="仿宋_GB2312" w:eastAsia="仿宋_GB2312"/>
          <w:b w:val="0"/>
          <w:sz w:val="32"/>
        </w:rPr>
        <w:t>工资</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本年度正常发放绩效工资，</w:t>
      </w:r>
      <w:r>
        <w:rPr>
          <w:rFonts w:ascii="仿宋_GB2312" w:hAnsi="仿宋_GB2312" w:eastAsia="仿宋_GB2312"/>
          <w:b w:val="0"/>
          <w:sz w:val="32"/>
        </w:rPr>
        <w:t>外宣经费较上年减少。</w:t>
      </w:r>
    </w:p>
    <w:p w14:paraId="777C140B">
      <w:pPr>
        <w:spacing w:line="580" w:lineRule="exact"/>
        <w:ind w:firstLine="640"/>
        <w:jc w:val="both"/>
      </w:pPr>
      <w:r>
        <w:rPr>
          <w:rFonts w:ascii="仿宋_GB2312" w:hAnsi="仿宋_GB2312" w:eastAsia="仿宋_GB2312"/>
          <w:b w:val="0"/>
          <w:sz w:val="32"/>
        </w:rPr>
        <w:t>2.一般公共服务支出(类)宣传事务(款)其他宣传事务支出(项):支出决算数为0.00万元，比上年决算减少10.00万元，下降100.00%,主要原因是：本年减少县级配套项目资金、文明城市创建经费。</w:t>
      </w:r>
    </w:p>
    <w:p w14:paraId="2A5EA5AC">
      <w:pPr>
        <w:spacing w:line="580" w:lineRule="exact"/>
        <w:ind w:firstLine="640"/>
        <w:jc w:val="both"/>
      </w:pPr>
      <w:r>
        <w:rPr>
          <w:rFonts w:ascii="仿宋_GB2312" w:hAnsi="仿宋_GB2312" w:eastAsia="仿宋_GB2312"/>
          <w:b w:val="0"/>
          <w:sz w:val="32"/>
        </w:rPr>
        <w:t>3.文化旅游体育与传媒支出(类)其他文化旅游体育与传媒支出(款)其他文化旅游体育与传媒支出(项):支出决算数为6.00万元，比上年决算增加0.00万元，增长0.00%,主要原因是：</w:t>
      </w:r>
      <w:bookmarkStart w:id="0" w:name="_GoBack"/>
      <w:r>
        <w:rPr>
          <w:rFonts w:ascii="仿宋_GB2312" w:hAnsi="仿宋_GB2312" w:eastAsia="仿宋_GB2312"/>
          <w:b w:val="0"/>
          <w:sz w:val="32"/>
        </w:rPr>
        <w:t>少数民族地区</w:t>
      </w:r>
      <w:bookmarkEnd w:id="0"/>
      <w:r>
        <w:rPr>
          <w:rFonts w:ascii="仿宋_GB2312" w:hAnsi="仿宋_GB2312" w:eastAsia="仿宋_GB2312"/>
          <w:b w:val="0"/>
          <w:sz w:val="32"/>
        </w:rPr>
        <w:t>和边疆地区文化安全补助资金与上年一致</w:t>
      </w:r>
      <w:r>
        <w:rPr>
          <w:rFonts w:hint="eastAsia" w:ascii="仿宋_GB2312" w:hAnsi="仿宋_GB2312" w:eastAsia="仿宋_GB2312"/>
          <w:b w:val="0"/>
          <w:sz w:val="32"/>
          <w:lang w:eastAsia="zh-CN"/>
        </w:rPr>
        <w:t>，</w:t>
      </w:r>
      <w:r>
        <w:rPr>
          <w:rFonts w:ascii="仿宋_GB2312" w:hAnsi="仿宋_GB2312" w:eastAsia="仿宋_GB2312"/>
          <w:b w:val="0"/>
          <w:sz w:val="32"/>
        </w:rPr>
        <w:t>无变化。</w:t>
      </w:r>
    </w:p>
    <w:p w14:paraId="63C8FDAF">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4.社会保障和就业支出(类)行政事业单位养老支出(款)行政单位离退休(项):支出决算数为2.33万元，比上年决算增加1.32万元，增长130.69%,主要原因是：本年增加退休人员基础绩效奖，退休费支出增加。</w:t>
      </w:r>
    </w:p>
    <w:p w14:paraId="0F40CFC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19.91万元，比上年决算增加2.98万元，增长17.60%,主要原因是：本年在职人员增加，工资基数调增，养老缴费基数上涨，养老保险缴费较上年增加。</w:t>
      </w:r>
    </w:p>
    <w:p w14:paraId="5002404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6.社会保障和就业支出(类)行政事业单位养老支出(款)机关事业单位职业年金缴费支出(项):支出决算数为0.00万元，比上年决算减少4.41万元，下降100.00%,主要原因是：本年</w:t>
      </w:r>
      <w:r>
        <w:rPr>
          <w:rFonts w:hint="eastAsia" w:ascii="仿宋_GB2312" w:hAnsi="仿宋_GB2312" w:eastAsia="仿宋_GB2312"/>
          <w:b w:val="0"/>
          <w:sz w:val="32"/>
          <w:lang w:val="en-US" w:eastAsia="zh-CN"/>
        </w:rPr>
        <w:t>无</w:t>
      </w:r>
      <w:r>
        <w:rPr>
          <w:rFonts w:ascii="仿宋_GB2312" w:hAnsi="仿宋_GB2312" w:eastAsia="仿宋_GB2312"/>
          <w:b w:val="0"/>
          <w:sz w:val="32"/>
        </w:rPr>
        <w:t>新增退休人员，职业年金缴费较上年减少。</w:t>
      </w:r>
    </w:p>
    <w:p w14:paraId="2E5D2B65">
      <w:pPr>
        <w:spacing w:line="580" w:lineRule="exact"/>
        <w:ind w:firstLine="640"/>
        <w:jc w:val="both"/>
      </w:pPr>
      <w:r>
        <w:rPr>
          <w:rFonts w:ascii="仿宋_GB2312" w:hAnsi="仿宋_GB2312" w:eastAsia="仿宋_GB2312"/>
          <w:b w:val="0"/>
          <w:sz w:val="32"/>
        </w:rPr>
        <w:t>7.卫生健康支出(类)行政事业单位医疗(款)行政单位医疗(项):支出决算数为9.00万元，比上年决算增加1.29万元，增长16.73%,主要原因是：本年在职人员增加，行政单位医疗支出较上年增加。</w:t>
      </w:r>
    </w:p>
    <w:p w14:paraId="1C74CEB0">
      <w:pPr>
        <w:spacing w:line="580" w:lineRule="exact"/>
        <w:ind w:firstLine="640"/>
        <w:jc w:val="both"/>
      </w:pPr>
      <w:r>
        <w:rPr>
          <w:rFonts w:ascii="仿宋_GB2312" w:hAnsi="仿宋_GB2312" w:eastAsia="仿宋_GB2312"/>
          <w:b w:val="0"/>
          <w:sz w:val="32"/>
        </w:rPr>
        <w:t>8.卫生健康支出(类)行政事业单位医疗(款)公务员医疗补助(项):支出决算数为2.64万元，比上年决算增加0.42万元，增长18.92%,主要原因是：本年在职人员增加，在职人员工资基数增加，公务员医疗补助较上年增加。</w:t>
      </w:r>
    </w:p>
    <w:p w14:paraId="412C729F">
      <w:pPr>
        <w:spacing w:line="580" w:lineRule="exact"/>
        <w:ind w:firstLine="640"/>
        <w:jc w:val="both"/>
      </w:pPr>
      <w:r>
        <w:rPr>
          <w:rFonts w:ascii="仿宋_GB2312" w:hAnsi="仿宋_GB2312" w:eastAsia="仿宋_GB2312"/>
          <w:b w:val="0"/>
          <w:sz w:val="32"/>
        </w:rPr>
        <w:t>9.住房保障支出(类)住房改革支出(款)住房公积金(项):支出决算数为15.67万元，比上年决算增加2.74万元，增长21.19%,主要原因是：本年在职人员增加，在职人员工资基数调增，住房公积金支出较上年增加。</w:t>
      </w:r>
    </w:p>
    <w:p w14:paraId="3F1715DB">
      <w:pPr>
        <w:spacing w:line="580" w:lineRule="exact"/>
        <w:ind w:firstLine="640"/>
        <w:jc w:val="both"/>
      </w:pPr>
      <w:r>
        <w:rPr>
          <w:rFonts w:ascii="仿宋_GB2312" w:hAnsi="仿宋_GB2312" w:eastAsia="仿宋_GB2312"/>
          <w:b w:val="0"/>
          <w:sz w:val="32"/>
        </w:rPr>
        <w:t>10.其他支出(类)其他支出(款)其他支出(项):支出决算数为0.00万元，比上年决算减少3.71万元，下降100.00%,主要原因是：本年</w:t>
      </w:r>
      <w:r>
        <w:rPr>
          <w:rFonts w:hint="eastAsia" w:ascii="仿宋_GB2312" w:hAnsi="仿宋_GB2312" w:eastAsia="仿宋_GB2312"/>
          <w:b w:val="0"/>
          <w:sz w:val="32"/>
          <w:lang w:val="en-US" w:eastAsia="zh-CN"/>
        </w:rPr>
        <w:t>未安排</w:t>
      </w:r>
      <w:r>
        <w:rPr>
          <w:rFonts w:ascii="仿宋_GB2312" w:hAnsi="仿宋_GB2312" w:eastAsia="仿宋_GB2312"/>
          <w:b w:val="0"/>
          <w:sz w:val="32"/>
        </w:rPr>
        <w:t>为民办实事工作经费。</w:t>
      </w:r>
    </w:p>
    <w:p w14:paraId="45CB2D9B">
      <w:pPr>
        <w:spacing w:line="640" w:lineRule="exact"/>
        <w:ind w:firstLine="640"/>
        <w:jc w:val="both"/>
        <w:outlineLvl w:val="2"/>
      </w:pPr>
      <w:r>
        <w:rPr>
          <w:rFonts w:ascii="黑体" w:hAnsi="黑体" w:eastAsia="黑体"/>
          <w:sz w:val="32"/>
        </w:rPr>
        <w:t>六、一般公共预算财政拨款基本支出决算情况说明</w:t>
      </w:r>
    </w:p>
    <w:p w14:paraId="0215D913">
      <w:pPr>
        <w:spacing w:line="580" w:lineRule="exact"/>
        <w:ind w:firstLine="640"/>
        <w:jc w:val="both"/>
      </w:pPr>
      <w:r>
        <w:rPr>
          <w:rFonts w:ascii="仿宋_GB2312" w:hAnsi="仿宋_GB2312" w:eastAsia="仿宋_GB2312"/>
          <w:b w:val="0"/>
          <w:sz w:val="32"/>
        </w:rPr>
        <w:t>2024年度一般公共预算财政拨款基本支出194.82万元，其中：</w:t>
      </w:r>
      <w:r>
        <w:rPr>
          <w:rFonts w:ascii="仿宋_GB2312" w:hAnsi="仿宋_GB2312" w:eastAsia="仿宋_GB2312"/>
          <w:b/>
          <w:sz w:val="32"/>
        </w:rPr>
        <w:t>人员经费188.84万元，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包括：基本工资、津贴补贴、奖金、机关事业单位基本养老保险缴费、职工基本医疗保险缴费、公务员医疗补助缴费、其他社会保障缴费、住房公积金、退休费、生活补助、奖励金。</w:t>
      </w:r>
    </w:p>
    <w:p w14:paraId="1675ABE8">
      <w:pPr>
        <w:spacing w:line="580" w:lineRule="exact"/>
        <w:ind w:firstLine="640"/>
        <w:jc w:val="both"/>
      </w:pPr>
      <w:r>
        <w:rPr>
          <w:rFonts w:ascii="仿宋_GB2312" w:hAnsi="仿宋_GB2312" w:eastAsia="仿宋_GB2312"/>
          <w:b/>
          <w:sz w:val="32"/>
        </w:rPr>
        <w:t>公用经费5.99万元，</w:t>
      </w:r>
      <w:r>
        <w:rPr>
          <w:rFonts w:ascii="仿宋_GB2312" w:hAnsi="仿宋_GB2312" w:eastAsia="仿宋_GB2312"/>
          <w:b w:val="0"/>
          <w:sz w:val="32"/>
        </w:rPr>
        <w:t>包括：办公费、差旅费、维修（护）费、租赁费、工会经费、公务用车运行维护费、办公设备购置。</w:t>
      </w:r>
    </w:p>
    <w:p w14:paraId="7A4B101C">
      <w:pPr>
        <w:spacing w:line="640" w:lineRule="exact"/>
        <w:ind w:firstLine="640"/>
        <w:jc w:val="both"/>
        <w:outlineLvl w:val="2"/>
      </w:pPr>
      <w:r>
        <w:rPr>
          <w:rFonts w:ascii="黑体" w:hAnsi="黑体" w:eastAsia="黑体"/>
          <w:sz w:val="32"/>
        </w:rPr>
        <w:t>七、政府性基金预算财政拨款收入支出决算情况说明</w:t>
      </w:r>
    </w:p>
    <w:p w14:paraId="323B107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CA6932">
      <w:pPr>
        <w:spacing w:line="640" w:lineRule="exact"/>
        <w:ind w:firstLine="640"/>
        <w:jc w:val="both"/>
        <w:outlineLvl w:val="2"/>
      </w:pPr>
      <w:r>
        <w:rPr>
          <w:rFonts w:ascii="黑体" w:hAnsi="黑体" w:eastAsia="黑体"/>
          <w:sz w:val="32"/>
        </w:rPr>
        <w:t>八、国有资本经营预算财政拨款收入支出决算情况说明</w:t>
      </w:r>
    </w:p>
    <w:p w14:paraId="33ECE30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E758760">
      <w:pPr>
        <w:spacing w:line="640" w:lineRule="exact"/>
        <w:ind w:firstLine="640"/>
        <w:jc w:val="both"/>
        <w:outlineLvl w:val="2"/>
      </w:pPr>
      <w:r>
        <w:rPr>
          <w:rFonts w:ascii="黑体" w:hAnsi="黑体" w:eastAsia="黑体"/>
          <w:sz w:val="32"/>
        </w:rPr>
        <w:t>九、财政拨款“三公”经费支出决算情况说明</w:t>
      </w:r>
    </w:p>
    <w:p w14:paraId="64522DCE">
      <w:pPr>
        <w:spacing w:line="580" w:lineRule="exact"/>
        <w:ind w:firstLine="640"/>
        <w:jc w:val="both"/>
      </w:pPr>
      <w:r>
        <w:rPr>
          <w:rFonts w:ascii="仿宋_GB2312" w:hAnsi="仿宋_GB2312" w:eastAsia="仿宋_GB2312"/>
          <w:b/>
          <w:sz w:val="32"/>
        </w:rPr>
        <w:t>2024年度财政拨款“三公”经费支出2.16万元，</w:t>
      </w:r>
      <w:r>
        <w:rPr>
          <w:rFonts w:ascii="仿宋_GB2312" w:hAnsi="仿宋_GB2312" w:eastAsia="仿宋_GB2312"/>
          <w:b w:val="0"/>
          <w:sz w:val="32"/>
        </w:rPr>
        <w:t>比上年增加0.76万元，增长54.29%，主要原因是：本单位公务用车日渐老化，维修维护成本增加，用车次数增加，燃油费增加，导致公务用车运行维护费较上年增加。其中：因公出国（境）费支出0.00万元，占0.00%，比上年增加0.00万元，增长0.00%，主要原因是：2023年与2024年均未安排因公出国（境）费支出。公务用车购置及运行维护费支出2.16万元，占100.00%，比上年增加0.76万元，增长54.29%，主要原因是：本单位公务用车日渐老化，维修次数多，用车次数增加，燃油费增加，导致公务用车运行维护费较上年增加。公务接待费支出0.00万元，占0.00%，比上年增加0.00万元，增长0.00%，主要原因是：2023年与2024年均未安排公务接待费支出。</w:t>
      </w:r>
    </w:p>
    <w:p w14:paraId="6937DAC0">
      <w:pPr>
        <w:spacing w:line="580" w:lineRule="exact"/>
        <w:ind w:firstLine="640"/>
        <w:jc w:val="both"/>
      </w:pPr>
      <w:r>
        <w:rPr>
          <w:rFonts w:ascii="仿宋_GB2312" w:hAnsi="仿宋_GB2312" w:eastAsia="仿宋_GB2312"/>
          <w:b/>
          <w:sz w:val="32"/>
        </w:rPr>
        <w:t>具体情况如下：</w:t>
      </w:r>
    </w:p>
    <w:p w14:paraId="666AEF9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38A1B9D">
      <w:pPr>
        <w:spacing w:line="580" w:lineRule="exact"/>
        <w:ind w:firstLine="640"/>
        <w:jc w:val="both"/>
      </w:pPr>
      <w:r>
        <w:rPr>
          <w:rFonts w:ascii="仿宋_GB2312" w:hAnsi="仿宋_GB2312" w:eastAsia="仿宋_GB2312"/>
          <w:b w:val="0"/>
          <w:sz w:val="32"/>
        </w:rPr>
        <w:t>公务用车购置及运行维护费2.16万元，其中：公务用车购置费0.00万元，公务用车运行维护费2.16万元。公务用车运行维护费开支内容包括车辆加油费、维修费、保险费、审车费。公务用车购置数0辆，公务用车保有量1辆。国有资产占用情况中固定资产车辆1辆，与公务用车保有量差异原因是：本单位固定资产车辆与公务用车保有量一致无差异。</w:t>
      </w:r>
    </w:p>
    <w:p w14:paraId="59E4B9E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135AD3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2.16万元，决算数2.16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2.16万元，决算数2.16万元，预决算差异率0.00%，主要原因是：严格按照预算执行，预决算无差异。公务接待费全年预算数0.00万元，决算数0.00万元，预决算差异率0.00%，主要原因是：本单位无公务接待费。</w:t>
      </w:r>
    </w:p>
    <w:p w14:paraId="11577B1D">
      <w:pPr>
        <w:spacing w:line="640" w:lineRule="exact"/>
        <w:ind w:firstLine="640"/>
        <w:jc w:val="both"/>
        <w:outlineLvl w:val="2"/>
      </w:pPr>
      <w:r>
        <w:rPr>
          <w:rFonts w:ascii="黑体" w:hAnsi="黑体" w:eastAsia="黑体"/>
          <w:sz w:val="32"/>
        </w:rPr>
        <w:t>十、其他重要事项的情况说明</w:t>
      </w:r>
    </w:p>
    <w:p w14:paraId="78A6858B">
      <w:pPr>
        <w:spacing w:line="640" w:lineRule="exact"/>
        <w:ind w:firstLine="640"/>
        <w:jc w:val="both"/>
        <w:outlineLvl w:val="3"/>
      </w:pPr>
      <w:r>
        <w:rPr>
          <w:rFonts w:ascii="楷体_GB2312" w:hAnsi="楷体_GB2312" w:eastAsia="楷体_GB2312"/>
          <w:b/>
          <w:sz w:val="32"/>
        </w:rPr>
        <w:t>（一）机关运行经费及公用经费支出情况</w:t>
      </w:r>
    </w:p>
    <w:p w14:paraId="7B5F9C26">
      <w:pPr>
        <w:spacing w:line="580" w:lineRule="exact"/>
        <w:ind w:firstLine="640"/>
        <w:jc w:val="both"/>
      </w:pPr>
      <w:r>
        <w:rPr>
          <w:rFonts w:ascii="仿宋_GB2312" w:hAnsi="仿宋_GB2312" w:eastAsia="仿宋_GB2312"/>
          <w:b w:val="0"/>
          <w:sz w:val="32"/>
        </w:rPr>
        <w:t>2024年度中共且末县委员会宣传部本级（行政单位和参照公务员法管理事业单位）机关运行经费支出5.99万元，比上年减少16.90万元，下降73.83%，主要原因是：本年办公费、印刷费、差旅费减少，导致公用经费减少。</w:t>
      </w:r>
    </w:p>
    <w:p w14:paraId="17168B5C">
      <w:pPr>
        <w:spacing w:line="640" w:lineRule="exact"/>
        <w:ind w:firstLine="640"/>
        <w:jc w:val="both"/>
        <w:outlineLvl w:val="3"/>
      </w:pPr>
      <w:r>
        <w:rPr>
          <w:rFonts w:ascii="楷体_GB2312" w:hAnsi="楷体_GB2312" w:eastAsia="楷体_GB2312"/>
          <w:b/>
          <w:sz w:val="32"/>
        </w:rPr>
        <w:t>（二）政府采购情况</w:t>
      </w:r>
    </w:p>
    <w:p w14:paraId="5DC65689">
      <w:pPr>
        <w:spacing w:line="580" w:lineRule="exact"/>
        <w:ind w:firstLine="640"/>
        <w:jc w:val="both"/>
      </w:pPr>
      <w:r>
        <w:rPr>
          <w:rFonts w:ascii="仿宋_GB2312" w:hAnsi="仿宋_GB2312" w:eastAsia="仿宋_GB2312"/>
          <w:b w:val="0"/>
          <w:sz w:val="32"/>
        </w:rPr>
        <w:t>2024年度政府采购支出总额12.20万元，其中：政府采购货物支出1.25万元、政府采购工程支出0.00万元、政府采购服务支出10.95万元。</w:t>
      </w:r>
    </w:p>
    <w:p w14:paraId="7C855839">
      <w:pPr>
        <w:spacing w:line="580" w:lineRule="exact"/>
        <w:ind w:firstLine="640"/>
        <w:jc w:val="both"/>
      </w:pPr>
      <w:r>
        <w:rPr>
          <w:rFonts w:ascii="仿宋_GB2312" w:hAnsi="仿宋_GB2312" w:eastAsia="仿宋_GB2312"/>
          <w:b w:val="0"/>
          <w:sz w:val="32"/>
        </w:rPr>
        <w:t>授予中小企业合同金额2.25万元，占政府采购支出总额的18.44%，其中：授予小微企业合同金额2.25万元，占政府采购支出总额的18.44%。</w:t>
      </w:r>
    </w:p>
    <w:p w14:paraId="02A44C63">
      <w:pPr>
        <w:spacing w:line="640" w:lineRule="exact"/>
        <w:ind w:firstLine="640"/>
        <w:jc w:val="both"/>
        <w:outlineLvl w:val="3"/>
      </w:pPr>
      <w:r>
        <w:rPr>
          <w:rFonts w:ascii="楷体_GB2312" w:hAnsi="楷体_GB2312" w:eastAsia="楷体_GB2312"/>
          <w:b/>
          <w:sz w:val="32"/>
        </w:rPr>
        <w:t>（三）国有资产占用情况说明</w:t>
      </w:r>
    </w:p>
    <w:p w14:paraId="59BA9CD8">
      <w:pPr>
        <w:spacing w:line="580" w:lineRule="exact"/>
        <w:ind w:firstLine="640"/>
        <w:jc w:val="both"/>
      </w:pPr>
      <w:r>
        <w:rPr>
          <w:rFonts w:ascii="仿宋_GB2312" w:hAnsi="仿宋_GB2312" w:eastAsia="仿宋_GB2312"/>
          <w:b w:val="0"/>
          <w:sz w:val="32"/>
        </w:rPr>
        <w:t>截至2024年12月31日，房屋0.00平方米，价值0.00万元。车辆1辆，价值10.83万元，其中：副部（省）级及以上领导用车0辆、主要负责人用车0辆、机要通信用车0辆、应急保障用车0辆、执法执勤用车0辆、特种专业技术用车0辆、离退休干部服务用车0辆、其他用车1辆，其他用车主要是：一般公务用车，主要用于接送来县记者到县域内各新闻点位采访，下乡指导工作。单价100万元（含）以上设备（不含车辆）1台（套）。</w:t>
      </w:r>
    </w:p>
    <w:p w14:paraId="32D87B05">
      <w:pPr>
        <w:spacing w:line="640" w:lineRule="exact"/>
        <w:ind w:firstLine="640"/>
        <w:jc w:val="both"/>
        <w:outlineLvl w:val="2"/>
      </w:pPr>
      <w:r>
        <w:rPr>
          <w:rFonts w:ascii="黑体" w:hAnsi="黑体" w:eastAsia="黑体"/>
          <w:sz w:val="32"/>
        </w:rPr>
        <w:t>十一、预算绩效的情况说明</w:t>
      </w:r>
    </w:p>
    <w:p w14:paraId="3CC30F2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201.04万元，实际执行总额201.04万元；预算绩效评价项目0个，全年预算数0.00万元，全年执行数0.00万元。预算绩效管理取得的成效：2024年本单位无预算绩效项目。发现的问题及原因：2024年本单位无预算绩效项目。下一步改进措施：2024年本单位无预算绩效项目。具体附整体支出绩效自评表。</w:t>
      </w:r>
    </w:p>
    <w:p w14:paraId="3F91535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57"/>
        <w:gridCol w:w="809"/>
        <w:gridCol w:w="983"/>
        <w:gridCol w:w="983"/>
      </w:tblGrid>
      <w:tr w14:paraId="1F311A79">
        <w:tblPrEx>
          <w:tblCellMar>
            <w:top w:w="0" w:type="dxa"/>
            <w:left w:w="108" w:type="dxa"/>
            <w:bottom w:w="0" w:type="dxa"/>
            <w:right w:w="108" w:type="dxa"/>
          </w:tblCellMar>
        </w:tblPrEx>
        <w:tc>
          <w:tcPr>
            <w:tcW w:w="8847" w:type="dxa"/>
            <w:gridSpan w:val="9"/>
            <w:vAlign w:val="center"/>
          </w:tcPr>
          <w:p w14:paraId="2A2A9F30">
            <w:pPr>
              <w:jc w:val="center"/>
            </w:pPr>
            <w:r>
              <w:rPr>
                <w:rFonts w:ascii="宋体" w:hAnsi="宋体" w:eastAsia="宋体"/>
                <w:sz w:val="24"/>
              </w:rPr>
              <w:t>单位整体支出绩效自评表</w:t>
            </w:r>
          </w:p>
        </w:tc>
      </w:tr>
      <w:tr w14:paraId="68DB2AA2">
        <w:tblPrEx>
          <w:tblCellMar>
            <w:top w:w="0" w:type="dxa"/>
            <w:left w:w="108" w:type="dxa"/>
            <w:bottom w:w="0" w:type="dxa"/>
            <w:right w:w="108" w:type="dxa"/>
          </w:tblCellMar>
        </w:tblPrEx>
        <w:tc>
          <w:tcPr>
            <w:tcW w:w="8847" w:type="dxa"/>
            <w:gridSpan w:val="9"/>
            <w:vAlign w:val="center"/>
          </w:tcPr>
          <w:p w14:paraId="4E0E2765">
            <w:pPr>
              <w:jc w:val="center"/>
            </w:pPr>
            <w:r>
              <w:rPr>
                <w:rFonts w:ascii="宋体" w:hAnsi="宋体" w:eastAsia="宋体"/>
                <w:sz w:val="24"/>
              </w:rPr>
              <w:t>（2024年度）</w:t>
            </w:r>
          </w:p>
        </w:tc>
      </w:tr>
      <w:tr w14:paraId="11345AE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9486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FC0446">
            <w:pPr>
              <w:jc w:val="center"/>
            </w:pPr>
            <w:r>
              <w:rPr>
                <w:rFonts w:ascii="宋体" w:hAnsi="宋体" w:eastAsia="宋体"/>
                <w:sz w:val="16"/>
              </w:rPr>
              <w:t>中共且末县委员会宣传部本级</w:t>
            </w:r>
          </w:p>
        </w:tc>
      </w:tr>
      <w:tr w14:paraId="7E96688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9475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503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A793F">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29C2B">
            <w:pPr>
              <w:jc w:val="center"/>
            </w:pPr>
            <w:r>
              <w:rPr>
                <w:rFonts w:ascii="宋体" w:hAnsi="宋体" w:eastAsia="宋体"/>
                <w:sz w:val="16"/>
              </w:rPr>
              <w:t>预算数（调整后）</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5530E037">
            <w:pPr>
              <w:jc w:val="center"/>
            </w:pPr>
            <w:r>
              <w:rPr>
                <w:rFonts w:ascii="宋体" w:hAnsi="宋体" w:eastAsia="宋体"/>
                <w:sz w:val="16"/>
              </w:rPr>
              <w:t>执行数</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C5B4A2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89CC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1B7DD">
            <w:pPr>
              <w:jc w:val="center"/>
            </w:pPr>
            <w:r>
              <w:rPr>
                <w:rFonts w:ascii="宋体" w:hAnsi="宋体" w:eastAsia="宋体"/>
                <w:sz w:val="16"/>
              </w:rPr>
              <w:t>得分</w:t>
            </w:r>
          </w:p>
        </w:tc>
      </w:tr>
      <w:tr w14:paraId="49F29C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6A76C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DFDCF">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86772">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464C5">
            <w:pPr>
              <w:jc w:val="center"/>
            </w:pPr>
            <w:r>
              <w:rPr>
                <w:rFonts w:ascii="宋体" w:hAnsi="宋体" w:eastAsia="宋体"/>
                <w:sz w:val="16"/>
              </w:rPr>
              <w:t>205.62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964FC">
            <w:pPr>
              <w:jc w:val="center"/>
            </w:pPr>
            <w:r>
              <w:rPr>
                <w:rFonts w:ascii="宋体" w:hAnsi="宋体" w:eastAsia="宋体"/>
                <w:sz w:val="16"/>
              </w:rPr>
              <w:t>201.04</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DE07364">
            <w:pPr>
              <w:jc w:val="center"/>
            </w:pPr>
            <w:r>
              <w:rPr>
                <w:rFonts w:ascii="宋体" w:hAnsi="宋体" w:eastAsia="宋体"/>
                <w:sz w:val="16"/>
              </w:rPr>
              <w:t>201.04</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CE346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D83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9A887">
            <w:pPr>
              <w:jc w:val="center"/>
            </w:pPr>
            <w:r>
              <w:rPr>
                <w:rFonts w:ascii="宋体" w:hAnsi="宋体" w:eastAsia="宋体"/>
                <w:sz w:val="16"/>
              </w:rPr>
              <w:t>10</w:t>
            </w:r>
          </w:p>
        </w:tc>
      </w:tr>
      <w:tr w14:paraId="322896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B5A8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B2E9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EF73C">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9983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408EE">
            <w:pPr>
              <w:jc w:val="center"/>
            </w:pPr>
            <w:r>
              <w:rPr>
                <w:rFonts w:ascii="宋体" w:hAnsi="宋体" w:eastAsia="宋体"/>
                <w:sz w:val="16"/>
              </w:rPr>
              <w:t>0.00</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4AC7EE7F">
            <w:pPr>
              <w:jc w:val="center"/>
            </w:pPr>
            <w:r>
              <w:rPr>
                <w:rFonts w:ascii="宋体" w:hAnsi="宋体" w:eastAsia="宋体"/>
                <w:sz w:val="16"/>
              </w:rPr>
              <w:t>0.00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3D07B1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304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8CC27">
            <w:pPr>
              <w:jc w:val="center"/>
            </w:pPr>
            <w:r>
              <w:rPr>
                <w:rFonts w:ascii="宋体" w:hAnsi="宋体" w:eastAsia="宋体"/>
                <w:sz w:val="16"/>
              </w:rPr>
              <w:t>-</w:t>
            </w:r>
          </w:p>
        </w:tc>
      </w:tr>
      <w:tr w14:paraId="6CB3FF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9DC90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B06E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AEDB1">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5A7B4">
            <w:pPr>
              <w:jc w:val="center"/>
            </w:pPr>
            <w:r>
              <w:rPr>
                <w:rFonts w:ascii="宋体" w:hAnsi="宋体" w:eastAsia="宋体"/>
                <w:sz w:val="16"/>
              </w:rPr>
              <w:t>205.62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2C7EB">
            <w:pPr>
              <w:jc w:val="center"/>
            </w:pPr>
            <w:r>
              <w:rPr>
                <w:rFonts w:ascii="宋体" w:hAnsi="宋体" w:eastAsia="宋体"/>
                <w:sz w:val="16"/>
              </w:rPr>
              <w:t>195.04</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4B82D469">
            <w:pPr>
              <w:jc w:val="center"/>
            </w:pPr>
            <w:r>
              <w:rPr>
                <w:rFonts w:ascii="宋体" w:hAnsi="宋体" w:eastAsia="宋体"/>
                <w:sz w:val="16"/>
              </w:rPr>
              <w:t>195.04</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2FE170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A84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9522C">
            <w:pPr>
              <w:jc w:val="center"/>
            </w:pPr>
            <w:r>
              <w:rPr>
                <w:rFonts w:ascii="宋体" w:hAnsi="宋体" w:eastAsia="宋体"/>
                <w:sz w:val="16"/>
              </w:rPr>
              <w:t>-</w:t>
            </w:r>
          </w:p>
        </w:tc>
      </w:tr>
      <w:tr w14:paraId="4535F8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2DD9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FD50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73BF6">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2092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48209">
            <w:pPr>
              <w:jc w:val="center"/>
            </w:pPr>
            <w:r>
              <w:rPr>
                <w:rFonts w:ascii="宋体" w:hAnsi="宋体" w:eastAsia="宋体"/>
                <w:sz w:val="16"/>
              </w:rPr>
              <w:t>6.00</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168DF72">
            <w:pPr>
              <w:jc w:val="center"/>
            </w:pPr>
            <w:r>
              <w:rPr>
                <w:rFonts w:ascii="宋体" w:hAnsi="宋体" w:eastAsia="宋体"/>
                <w:sz w:val="16"/>
              </w:rPr>
              <w:t>6.00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5A8EAC1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5FDB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2D997">
            <w:pPr>
              <w:jc w:val="center"/>
            </w:pPr>
            <w:r>
              <w:rPr>
                <w:rFonts w:ascii="宋体" w:hAnsi="宋体" w:eastAsia="宋体"/>
                <w:sz w:val="16"/>
              </w:rPr>
              <w:t>-</w:t>
            </w:r>
          </w:p>
        </w:tc>
      </w:tr>
      <w:tr w14:paraId="2985A9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765F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2ABF2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9D747F">
            <w:pPr>
              <w:jc w:val="center"/>
            </w:pPr>
            <w:r>
              <w:rPr>
                <w:rFonts w:ascii="宋体" w:hAnsi="宋体" w:eastAsia="宋体"/>
                <w:sz w:val="16"/>
              </w:rPr>
              <w:t>实际完成情况</w:t>
            </w:r>
          </w:p>
        </w:tc>
      </w:tr>
      <w:tr w14:paraId="68E15C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D3C67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FA13C5">
            <w:pPr>
              <w:jc w:val="both"/>
            </w:pPr>
            <w:r>
              <w:rPr>
                <w:rFonts w:ascii="宋体" w:hAnsi="宋体" w:eastAsia="宋体"/>
                <w:sz w:val="16"/>
              </w:rPr>
              <w:t>目标1：保障单位人员工资福利支出及运转支出，确保机构运转正常；                                                                                                                                        目标2：举办各类文化活动，做好对内对外宣传，与媒体进行深度合作，讲好“且末”故事。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D3FAB7">
            <w:pPr>
              <w:jc w:val="both"/>
            </w:pPr>
            <w:r>
              <w:rPr>
                <w:rFonts w:ascii="宋体" w:hAnsi="宋体" w:eastAsia="宋体"/>
                <w:sz w:val="16"/>
              </w:rPr>
              <w:t>2024年且末县委宣传部年初预算数205.62万元，全年执行数201.04万元，开展各类文化活动次数20次，组织开展宣讲活动20次，筹备召开重要会议2次，通过举办各类文化活动，进一步丰富了群众的精神文化生活，做好对内对外宣传，提升了且末知名度。</w:t>
            </w:r>
          </w:p>
        </w:tc>
      </w:tr>
      <w:tr w14:paraId="3C73DA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626C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94C6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5FF3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B0A5A">
            <w:pPr>
              <w:jc w:val="center"/>
            </w:pPr>
            <w:r>
              <w:rPr>
                <w:rFonts w:ascii="宋体" w:hAnsi="宋体" w:eastAsia="宋体"/>
                <w:sz w:val="16"/>
              </w:rPr>
              <w:t>预期指标值</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1E9D063E">
            <w:pPr>
              <w:jc w:val="center"/>
            </w:pPr>
            <w:r>
              <w:rPr>
                <w:rFonts w:ascii="宋体" w:hAnsi="宋体" w:eastAsia="宋体"/>
                <w:sz w:val="16"/>
              </w:rPr>
              <w:t>指标值设定依据</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06BD2C1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2154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46E63">
            <w:pPr>
              <w:jc w:val="center"/>
            </w:pPr>
            <w:r>
              <w:rPr>
                <w:rFonts w:ascii="宋体" w:hAnsi="宋体" w:eastAsia="宋体"/>
                <w:sz w:val="16"/>
              </w:rPr>
              <w:t>得分</w:t>
            </w:r>
          </w:p>
        </w:tc>
      </w:tr>
      <w:tr w14:paraId="5D3AB70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255B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AA29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26A22">
            <w:pPr>
              <w:jc w:val="center"/>
            </w:pPr>
            <w:r>
              <w:rPr>
                <w:rFonts w:ascii="宋体" w:hAnsi="宋体" w:eastAsia="宋体"/>
                <w:sz w:val="16"/>
              </w:rPr>
              <w:t>媒体刊发稿件数量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69A54">
            <w:pPr>
              <w:jc w:val="center"/>
            </w:pPr>
            <w:r>
              <w:rPr>
                <w:rFonts w:ascii="宋体" w:hAnsi="宋体" w:eastAsia="宋体"/>
                <w:sz w:val="16"/>
              </w:rPr>
              <w:t>&gt;=1000条</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02F140F6">
            <w:pPr>
              <w:jc w:val="center"/>
            </w:pPr>
            <w:r>
              <w:rPr>
                <w:rFonts w:ascii="宋体" w:hAnsi="宋体" w:eastAsia="宋体"/>
                <w:sz w:val="16"/>
              </w:rPr>
              <w:t>2024年宣传思想文化工作要点</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76ED74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A574F">
            <w:pPr>
              <w:jc w:val="center"/>
            </w:pPr>
            <w:r>
              <w:rPr>
                <w:rFonts w:ascii="宋体" w:hAnsi="宋体" w:eastAsia="宋体"/>
                <w:sz w:val="16"/>
              </w:rPr>
              <w:t>1000条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56CDC">
            <w:pPr>
              <w:jc w:val="center"/>
            </w:pPr>
            <w:r>
              <w:rPr>
                <w:rFonts w:ascii="宋体" w:hAnsi="宋体" w:eastAsia="宋体"/>
                <w:sz w:val="16"/>
              </w:rPr>
              <w:t>20</w:t>
            </w:r>
          </w:p>
        </w:tc>
      </w:tr>
      <w:tr w14:paraId="1CCFED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F31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71C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B0FB0">
            <w:pPr>
              <w:jc w:val="center"/>
            </w:pPr>
            <w:r>
              <w:rPr>
                <w:rFonts w:ascii="宋体" w:hAnsi="宋体" w:eastAsia="宋体"/>
                <w:sz w:val="16"/>
              </w:rPr>
              <w:t>开展各类文化活动次数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8918E">
            <w:pPr>
              <w:jc w:val="center"/>
            </w:pPr>
            <w:r>
              <w:rPr>
                <w:rFonts w:ascii="宋体" w:hAnsi="宋体" w:eastAsia="宋体"/>
                <w:sz w:val="16"/>
              </w:rPr>
              <w:t>&gt;=20次</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611EB96B">
            <w:pPr>
              <w:jc w:val="center"/>
            </w:pPr>
            <w:r>
              <w:rPr>
                <w:rFonts w:ascii="宋体" w:hAnsi="宋体" w:eastAsia="宋体"/>
                <w:sz w:val="16"/>
              </w:rPr>
              <w:t>2024年宣传思想文化工作要点</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054CBF6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5EB21">
            <w:pPr>
              <w:jc w:val="center"/>
            </w:pPr>
            <w:r>
              <w:rPr>
                <w:rFonts w:ascii="宋体" w:hAnsi="宋体" w:eastAsia="宋体"/>
                <w:sz w:val="16"/>
              </w:rPr>
              <w: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3C81E">
            <w:pPr>
              <w:jc w:val="center"/>
            </w:pPr>
            <w:r>
              <w:rPr>
                <w:rFonts w:ascii="宋体" w:hAnsi="宋体" w:eastAsia="宋体"/>
                <w:sz w:val="16"/>
              </w:rPr>
              <w:t>20</w:t>
            </w:r>
          </w:p>
        </w:tc>
      </w:tr>
      <w:tr w14:paraId="330D76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717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A218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04415">
            <w:pPr>
              <w:jc w:val="center"/>
            </w:pPr>
            <w:r>
              <w:rPr>
                <w:rFonts w:ascii="宋体" w:hAnsi="宋体" w:eastAsia="宋体"/>
                <w:sz w:val="16"/>
              </w:rPr>
              <w:t>组织开展宣讲活动次数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BFAF4">
            <w:pPr>
              <w:jc w:val="center"/>
            </w:pPr>
            <w:r>
              <w:rPr>
                <w:rFonts w:ascii="宋体" w:hAnsi="宋体" w:eastAsia="宋体"/>
                <w:sz w:val="16"/>
              </w:rPr>
              <w:t>&gt;=20次</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36A41E4C">
            <w:pPr>
              <w:jc w:val="center"/>
            </w:pPr>
            <w:r>
              <w:rPr>
                <w:rFonts w:ascii="宋体" w:hAnsi="宋体" w:eastAsia="宋体"/>
                <w:sz w:val="16"/>
              </w:rPr>
              <w:t>2024年宣传思想文化工作要点</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035AD6C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F8E64">
            <w:pPr>
              <w:jc w:val="center"/>
            </w:pPr>
            <w:r>
              <w:rPr>
                <w:rFonts w:ascii="宋体" w:hAnsi="宋体" w:eastAsia="宋体"/>
                <w:sz w:val="16"/>
              </w:rPr>
              <w: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16F52">
            <w:pPr>
              <w:jc w:val="center"/>
            </w:pPr>
            <w:r>
              <w:rPr>
                <w:rFonts w:ascii="宋体" w:hAnsi="宋体" w:eastAsia="宋体"/>
                <w:sz w:val="16"/>
              </w:rPr>
              <w:t>20</w:t>
            </w:r>
          </w:p>
        </w:tc>
      </w:tr>
      <w:tr w14:paraId="6B382A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A31D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C57C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AFE01">
            <w:pPr>
              <w:jc w:val="center"/>
            </w:pPr>
            <w:r>
              <w:rPr>
                <w:rFonts w:ascii="宋体" w:hAnsi="宋体" w:eastAsia="宋体"/>
                <w:sz w:val="16"/>
              </w:rPr>
              <w:t>筹备召开重要会议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30CC0">
            <w:pPr>
              <w:jc w:val="center"/>
            </w:pPr>
            <w:r>
              <w:rPr>
                <w:rFonts w:ascii="宋体" w:hAnsi="宋体" w:eastAsia="宋体"/>
                <w:sz w:val="16"/>
              </w:rPr>
              <w:t>&gt;=2次</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C93D6B3">
            <w:pPr>
              <w:jc w:val="center"/>
            </w:pPr>
            <w:r>
              <w:rPr>
                <w:rFonts w:ascii="宋体" w:hAnsi="宋体" w:eastAsia="宋体"/>
                <w:sz w:val="16"/>
              </w:rPr>
              <w:t>2024年宣传思想文化工作要点</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45217B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EF0D8">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ED04">
            <w:pPr>
              <w:jc w:val="center"/>
            </w:pPr>
            <w:r>
              <w:rPr>
                <w:rFonts w:ascii="宋体" w:hAnsi="宋体" w:eastAsia="宋体"/>
                <w:sz w:val="16"/>
              </w:rPr>
              <w:t>20</w:t>
            </w:r>
          </w:p>
        </w:tc>
      </w:tr>
      <w:tr w14:paraId="0EF1AA1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37B9C">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97A98">
            <w:pPr>
              <w:jc w:val="center"/>
            </w:pPr>
            <w:r>
              <w:rPr>
                <w:rFonts w:ascii="宋体" w:hAnsi="宋体" w:eastAsia="宋体"/>
                <w:sz w:val="16"/>
              </w:rPr>
              <w:t>服务对象满意度指标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6F1AE">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63D5C">
            <w:pPr>
              <w:jc w:val="center"/>
            </w:pPr>
            <w:r>
              <w:rPr>
                <w:rFonts w:ascii="宋体" w:hAnsi="宋体" w:eastAsia="宋体"/>
                <w:sz w:val="16"/>
              </w:rPr>
              <w:t>&gt;=95%</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E1427EB">
            <w:pPr>
              <w:jc w:val="center"/>
            </w:pPr>
            <w:r>
              <w:rPr>
                <w:rFonts w:hint="eastAsia" w:ascii="宋体" w:hAnsi="宋体"/>
                <w:sz w:val="16"/>
                <w:lang w:eastAsia="zh-CN"/>
              </w:rPr>
              <w:t>“十四五”发展规划</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727664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852F3">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E4C66">
            <w:pPr>
              <w:jc w:val="center"/>
            </w:pPr>
            <w:r>
              <w:rPr>
                <w:rFonts w:ascii="宋体" w:hAnsi="宋体" w:eastAsia="宋体"/>
                <w:sz w:val="16"/>
              </w:rPr>
              <w:t>10</w:t>
            </w:r>
          </w:p>
        </w:tc>
      </w:tr>
    </w:tbl>
    <w:p w14:paraId="1C42890E">
      <w:r>
        <w:br w:type="page"/>
      </w:r>
    </w:p>
    <w:p w14:paraId="426352F0">
      <w:pPr>
        <w:spacing w:line="640" w:lineRule="exact"/>
        <w:ind w:firstLine="640"/>
        <w:jc w:val="both"/>
        <w:outlineLvl w:val="2"/>
      </w:pPr>
      <w:r>
        <w:rPr>
          <w:rFonts w:ascii="黑体" w:hAnsi="黑体" w:eastAsia="黑体"/>
          <w:sz w:val="32"/>
        </w:rPr>
        <w:t>十二、其他需说明的事项</w:t>
      </w:r>
    </w:p>
    <w:p w14:paraId="4CFFFF0E">
      <w:pPr>
        <w:spacing w:line="580" w:lineRule="exact"/>
        <w:ind w:firstLine="640"/>
        <w:jc w:val="both"/>
      </w:pPr>
      <w:r>
        <w:rPr>
          <w:rFonts w:ascii="仿宋_GB2312" w:hAnsi="仿宋_GB2312" w:eastAsia="仿宋_GB2312"/>
          <w:b w:val="0"/>
          <w:sz w:val="32"/>
        </w:rPr>
        <w:t>本单位无其他需说明的事项。</w:t>
      </w:r>
    </w:p>
    <w:p w14:paraId="5AA2EB0F">
      <w:r>
        <w:br w:type="page"/>
      </w:r>
    </w:p>
    <w:p w14:paraId="59CFF75C">
      <w:pPr>
        <w:spacing w:line="240" w:lineRule="auto"/>
        <w:jc w:val="center"/>
        <w:outlineLvl w:val="1"/>
      </w:pPr>
      <w:r>
        <w:rPr>
          <w:rFonts w:ascii="黑体" w:hAnsi="黑体" w:eastAsia="黑体"/>
          <w:sz w:val="32"/>
        </w:rPr>
        <w:t>第三部分 专业名词解释</w:t>
      </w:r>
    </w:p>
    <w:p w14:paraId="4416EAF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B27939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B789F6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43EF44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B6FA17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0071A2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B407F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CBB82E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5E1CC4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A8218F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40A2C7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112B14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93BC67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91FD5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369203">
      <w:r>
        <w:br w:type="page"/>
      </w:r>
    </w:p>
    <w:p w14:paraId="5815CA36">
      <w:pPr>
        <w:spacing w:line="240" w:lineRule="auto"/>
        <w:jc w:val="center"/>
        <w:outlineLvl w:val="1"/>
      </w:pPr>
      <w:r>
        <w:rPr>
          <w:rFonts w:ascii="黑体" w:hAnsi="黑体" w:eastAsia="黑体"/>
          <w:sz w:val="32"/>
        </w:rPr>
        <w:t>第四部分 部门决算报表（见附表）</w:t>
      </w:r>
    </w:p>
    <w:p w14:paraId="7F91F603">
      <w:pPr>
        <w:spacing w:line="240" w:lineRule="auto"/>
        <w:ind w:firstLine="640"/>
        <w:jc w:val="both"/>
      </w:pPr>
      <w:r>
        <w:rPr>
          <w:rFonts w:ascii="仿宋_GB2312" w:hAnsi="仿宋_GB2312" w:eastAsia="仿宋_GB2312"/>
          <w:b w:val="0"/>
          <w:sz w:val="32"/>
        </w:rPr>
        <w:t>一、《收入支出决算总表》</w:t>
      </w:r>
    </w:p>
    <w:p w14:paraId="78818354">
      <w:pPr>
        <w:spacing w:line="240" w:lineRule="auto"/>
        <w:ind w:firstLine="640"/>
        <w:jc w:val="both"/>
      </w:pPr>
      <w:r>
        <w:rPr>
          <w:rFonts w:ascii="仿宋_GB2312" w:hAnsi="仿宋_GB2312" w:eastAsia="仿宋_GB2312"/>
          <w:b w:val="0"/>
          <w:sz w:val="32"/>
        </w:rPr>
        <w:t>二、《收入决算表》</w:t>
      </w:r>
    </w:p>
    <w:p w14:paraId="248BFFD8">
      <w:pPr>
        <w:spacing w:line="240" w:lineRule="auto"/>
        <w:ind w:firstLine="640"/>
        <w:jc w:val="both"/>
      </w:pPr>
      <w:r>
        <w:rPr>
          <w:rFonts w:ascii="仿宋_GB2312" w:hAnsi="仿宋_GB2312" w:eastAsia="仿宋_GB2312"/>
          <w:b w:val="0"/>
          <w:sz w:val="32"/>
        </w:rPr>
        <w:t>三、《支出决算表》</w:t>
      </w:r>
    </w:p>
    <w:p w14:paraId="2E94CE2B">
      <w:pPr>
        <w:spacing w:line="240" w:lineRule="auto"/>
        <w:ind w:firstLine="640"/>
        <w:jc w:val="both"/>
      </w:pPr>
      <w:r>
        <w:rPr>
          <w:rFonts w:ascii="仿宋_GB2312" w:hAnsi="仿宋_GB2312" w:eastAsia="仿宋_GB2312"/>
          <w:b w:val="0"/>
          <w:sz w:val="32"/>
        </w:rPr>
        <w:t>四、《财政拨款收入支出决算总表》</w:t>
      </w:r>
    </w:p>
    <w:p w14:paraId="52DFE898">
      <w:pPr>
        <w:spacing w:line="240" w:lineRule="auto"/>
        <w:ind w:firstLine="640"/>
        <w:jc w:val="both"/>
      </w:pPr>
      <w:r>
        <w:rPr>
          <w:rFonts w:ascii="仿宋_GB2312" w:hAnsi="仿宋_GB2312" w:eastAsia="仿宋_GB2312"/>
          <w:b w:val="0"/>
          <w:sz w:val="32"/>
        </w:rPr>
        <w:t>五、《一般公共预算财政拨款支出决算表》</w:t>
      </w:r>
    </w:p>
    <w:p w14:paraId="688180B8">
      <w:pPr>
        <w:spacing w:line="240" w:lineRule="auto"/>
        <w:ind w:firstLine="640"/>
        <w:jc w:val="both"/>
      </w:pPr>
      <w:r>
        <w:rPr>
          <w:rFonts w:ascii="仿宋_GB2312" w:hAnsi="仿宋_GB2312" w:eastAsia="仿宋_GB2312"/>
          <w:b w:val="0"/>
          <w:sz w:val="32"/>
        </w:rPr>
        <w:t>六、《一般公共预算财政拨款基本支出决算表》</w:t>
      </w:r>
    </w:p>
    <w:p w14:paraId="26764E3F">
      <w:pPr>
        <w:spacing w:line="240" w:lineRule="auto"/>
        <w:ind w:firstLine="640"/>
        <w:jc w:val="both"/>
      </w:pPr>
      <w:r>
        <w:rPr>
          <w:rFonts w:ascii="仿宋_GB2312" w:hAnsi="仿宋_GB2312" w:eastAsia="仿宋_GB2312"/>
          <w:b w:val="0"/>
          <w:sz w:val="32"/>
        </w:rPr>
        <w:t>七、《政府性基金预算财政拨款收入支出决算表》</w:t>
      </w:r>
    </w:p>
    <w:p w14:paraId="1C283D17">
      <w:pPr>
        <w:spacing w:line="240" w:lineRule="auto"/>
        <w:ind w:firstLine="640"/>
        <w:jc w:val="both"/>
      </w:pPr>
      <w:r>
        <w:rPr>
          <w:rFonts w:ascii="仿宋_GB2312" w:hAnsi="仿宋_GB2312" w:eastAsia="仿宋_GB2312"/>
          <w:b w:val="0"/>
          <w:sz w:val="32"/>
        </w:rPr>
        <w:t>八、《国有资本经营预算财政拨款收入支出决算表》</w:t>
      </w:r>
    </w:p>
    <w:p w14:paraId="5FB96188">
      <w:pPr>
        <w:spacing w:line="240" w:lineRule="auto"/>
        <w:ind w:firstLine="640"/>
        <w:jc w:val="both"/>
      </w:pPr>
      <w:r>
        <w:rPr>
          <w:rFonts w:ascii="仿宋_GB2312" w:hAnsi="仿宋_GB2312" w:eastAsia="仿宋_GB2312"/>
          <w:b w:val="0"/>
          <w:sz w:val="32"/>
        </w:rPr>
        <w:t>九、《财政拨款“三公”经费支出决算表》</w:t>
      </w:r>
    </w:p>
    <w:p w14:paraId="77404251">
      <w:pPr>
        <w:spacing w:line="240" w:lineRule="auto"/>
        <w:ind w:firstLine="640"/>
        <w:jc w:val="both"/>
      </w:pPr>
    </w:p>
    <w:p w14:paraId="46BA2785">
      <w:pPr>
        <w:spacing w:line="240" w:lineRule="auto"/>
        <w:ind w:firstLine="640"/>
        <w:jc w:val="both"/>
      </w:pPr>
    </w:p>
    <w:p w14:paraId="77A39654">
      <w:pPr>
        <w:spacing w:line="240" w:lineRule="auto"/>
        <w:ind w:firstLine="640"/>
        <w:jc w:val="both"/>
      </w:pPr>
    </w:p>
    <w:p w14:paraId="38071467">
      <w:pPr>
        <w:spacing w:line="240" w:lineRule="auto"/>
        <w:ind w:firstLine="640"/>
        <w:jc w:val="both"/>
      </w:pPr>
    </w:p>
    <w:p w14:paraId="46DA525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2D138-077B-4505-A9BC-88CBC875D5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6E13F45-BDE4-404D-995C-96516D54C7AC}"/>
  </w:font>
  <w:font w:name="仿宋_GB2312">
    <w:panose1 w:val="02010609030101010101"/>
    <w:charset w:val="86"/>
    <w:family w:val="modern"/>
    <w:pitch w:val="default"/>
    <w:sig w:usb0="00000001" w:usb1="080E0000" w:usb2="00000000" w:usb3="00000000" w:csb0="00040000" w:csb1="00000000"/>
    <w:embedRegular r:id="rId3" w:fontKey="{58F0C84E-1787-4A9A-9768-5B4463713FAD}"/>
  </w:font>
  <w:font w:name="楷体_GB2312">
    <w:panose1 w:val="02010609030101010101"/>
    <w:charset w:val="86"/>
    <w:family w:val="auto"/>
    <w:pitch w:val="default"/>
    <w:sig w:usb0="00000001" w:usb1="080E0000" w:usb2="00000000" w:usb3="00000000" w:csb0="00040000" w:csb1="00000000"/>
    <w:embedRegular r:id="rId4" w:fontKey="{C6DB8F1A-E791-4405-88C6-1A8415F93BD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C80C8F"/>
    <w:rsid w:val="795A0A34"/>
    <w:rsid w:val="79FC0AFB"/>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2207</Words>
  <Characters>2582</Characters>
  <Lines>0</Lines>
  <Paragraphs>0</Paragraphs>
  <TotalTime>4</TotalTime>
  <ScaleCrop>false</ScaleCrop>
  <LinksUpToDate>false</LinksUpToDate>
  <CharactersWithSpaces>2590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2025-09-26T11:11:25Z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