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且末县融媒体中心2024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3A82C42">
      <w:r>
        <w:br w:type="page"/>
      </w:r>
    </w:p>
    <w:p w14:paraId="2813A2FD">
      <w:pPr>
        <w:spacing w:line="640" w:lineRule="exact"/>
        <w:jc w:val="center"/>
        <w:outlineLvl w:val="1"/>
      </w:pPr>
      <w:r>
        <w:rPr>
          <w:rFonts w:ascii="黑体" w:hAnsi="黑体" w:eastAsia="黑体"/>
          <w:sz w:val="32"/>
        </w:rPr>
        <w:t>第一部分 单位概况</w:t>
      </w:r>
    </w:p>
    <w:p w14:paraId="489AD852">
      <w:pPr>
        <w:spacing w:line="640" w:lineRule="exact"/>
        <w:ind w:firstLine="640"/>
        <w:jc w:val="both"/>
        <w:outlineLvl w:val="2"/>
      </w:pPr>
      <w:r>
        <w:rPr>
          <w:rFonts w:ascii="黑体" w:hAnsi="黑体" w:eastAsia="黑体"/>
          <w:sz w:val="32"/>
        </w:rPr>
        <w:t>一、主要职能</w:t>
      </w:r>
    </w:p>
    <w:p w14:paraId="42597F82">
      <w:pPr>
        <w:spacing w:line="580" w:lineRule="exact"/>
        <w:ind w:firstLine="640"/>
        <w:jc w:val="both"/>
      </w:pPr>
      <w:r>
        <w:rPr>
          <w:rFonts w:ascii="仿宋_GB2312" w:hAnsi="仿宋_GB2312" w:eastAsia="仿宋_GB2312"/>
          <w:sz w:val="32"/>
        </w:rPr>
        <w:t>（一）负责融媒体中心一体化运行机制管理。一支采编队伍同时服务端、网、台等全平台，再造“策、采、编、审、发、评”业务流程，形成“一体策划、一次采集、多种生成、融合发布”的融媒体生产新格局。</w:t>
      </w:r>
    </w:p>
    <w:p w14:paraId="66F89AEC">
      <w:pPr>
        <w:spacing w:line="580" w:lineRule="exact"/>
        <w:ind w:firstLine="640"/>
        <w:jc w:val="both"/>
      </w:pPr>
      <w:r>
        <w:rPr>
          <w:rFonts w:ascii="仿宋_GB2312" w:hAnsi="仿宋_GB2312" w:eastAsia="仿宋_GB2312"/>
          <w:sz w:val="32"/>
        </w:rPr>
        <w:t>（二）负责广播、电视、网站、微信、微博等多个终端的综合运用的管理。形成分众传播、分类覆盖。创新新闻产品，生产符合移动互联网传播规律和用户接受习惯的内容产品，推出短视频、移动直播、H5等各种样式和形态的移动新闻产品，实现从单向传播向互动式、服务式、体验式传播转变。</w:t>
      </w:r>
    </w:p>
    <w:p w14:paraId="1D59E1D1">
      <w:pPr>
        <w:spacing w:line="580" w:lineRule="exact"/>
        <w:ind w:firstLine="640"/>
        <w:jc w:val="both"/>
      </w:pPr>
      <w:r>
        <w:rPr>
          <w:rFonts w:ascii="仿宋_GB2312" w:hAnsi="仿宋_GB2312" w:eastAsia="仿宋_GB2312"/>
          <w:sz w:val="32"/>
        </w:rPr>
        <w:t>（三）负责建立融媒体中心编委会领导下的采编统一指挥调度工作机制，实现对融媒体采编平台的集中指挥、高效协调、内容共享、多元分发，有效保障融媒体生产传播运转。</w:t>
      </w:r>
    </w:p>
    <w:p w14:paraId="0510BF10">
      <w:pPr>
        <w:spacing w:line="580" w:lineRule="exact"/>
        <w:ind w:firstLine="640"/>
        <w:jc w:val="both"/>
      </w:pPr>
      <w:r>
        <w:rPr>
          <w:rFonts w:ascii="仿宋_GB2312" w:hAnsi="仿宋_GB2312" w:eastAsia="仿宋_GB2312"/>
          <w:sz w:val="32"/>
        </w:rPr>
        <w:t>（四）负责管理总编室、新闻采集部、编辑制作部、技术保障部、后勤保障部、运营部。</w:t>
      </w:r>
    </w:p>
    <w:p w14:paraId="377368CF">
      <w:pPr>
        <w:spacing w:line="580" w:lineRule="exact"/>
        <w:ind w:firstLine="640"/>
        <w:jc w:val="both"/>
      </w:pPr>
      <w:r>
        <w:rPr>
          <w:rFonts w:ascii="仿宋_GB2312" w:hAnsi="仿宋_GB2312" w:eastAsia="仿宋_GB2312"/>
          <w:sz w:val="32"/>
        </w:rPr>
        <w:t>（五）负责采编制度、重大宣传报道任务的策划统筹、中心日常宣传管理、采编绩效考核、内容审读、舆情监测、数据分析、评优评奖、工程项目、对外通联、人员培训的管理。</w:t>
      </w:r>
    </w:p>
    <w:p w14:paraId="5C84201A">
      <w:pPr>
        <w:spacing w:line="580" w:lineRule="exact"/>
        <w:ind w:firstLine="640"/>
        <w:jc w:val="both"/>
      </w:pPr>
      <w:r>
        <w:rPr>
          <w:rFonts w:ascii="仿宋_GB2312" w:hAnsi="仿宋_GB2312" w:eastAsia="仿宋_GB2312"/>
          <w:sz w:val="32"/>
        </w:rPr>
        <w:t>（六）负责融媒体中心值班及事故问责制度（含采编与技术保障部门）、突发情况应急工作预案（含采编与技术保障部门）。</w:t>
      </w:r>
    </w:p>
    <w:p w14:paraId="5B3D0256">
      <w:pPr>
        <w:spacing w:line="580" w:lineRule="exact"/>
        <w:ind w:firstLine="640"/>
        <w:jc w:val="both"/>
      </w:pPr>
      <w:r>
        <w:rPr>
          <w:rFonts w:ascii="仿宋_GB2312" w:hAnsi="仿宋_GB2312" w:eastAsia="仿宋_GB2312"/>
          <w:sz w:val="32"/>
        </w:rPr>
        <w:t>（七）建立健全总编室、采访部、编发部、技术保障部内部业务流程、管理制度，负责部门人员的管理；按照融媒体采编指挥调度会议要求，负责融媒体中心各类新闻选题和宣传报道任务的策划、分工、执行、统筹；负责各类新闻产品的采集安排、分工；负责采集环节的三审三校；负责第一时间、准时和全天候向融媒体中心各平台供稿；负责与中心其他部门的工作协调等。</w:t>
      </w:r>
    </w:p>
    <w:p w14:paraId="3433C0D3">
      <w:pPr>
        <w:spacing w:line="580" w:lineRule="exact"/>
        <w:ind w:firstLine="640"/>
        <w:jc w:val="both"/>
      </w:pPr>
      <w:r>
        <w:rPr>
          <w:rFonts w:ascii="仿宋_GB2312" w:hAnsi="仿宋_GB2312" w:eastAsia="仿宋_GB2312"/>
          <w:sz w:val="32"/>
        </w:rPr>
        <w:t>（八）负责客户端、网站、微信、微博、第三方平台等终端内容的第一时间安全发布，确保每个终端发布的内容都</w:t>
      </w:r>
      <w:r>
        <w:rPr>
          <w:rFonts w:hint="eastAsia" w:ascii="仿宋_GB2312" w:hAnsi="仿宋_GB2312" w:eastAsia="仿宋_GB2312"/>
          <w:sz w:val="32"/>
          <w:lang w:eastAsia="zh-CN"/>
        </w:rPr>
        <w:t>实时</w:t>
      </w:r>
      <w:r>
        <w:rPr>
          <w:rFonts w:ascii="仿宋_GB2312" w:hAnsi="仿宋_GB2312" w:eastAsia="仿宋_GB2312"/>
          <w:sz w:val="32"/>
        </w:rPr>
        <w:t>准确、导向正确。</w:t>
      </w:r>
    </w:p>
    <w:p w14:paraId="0D395348">
      <w:pPr>
        <w:spacing w:line="580" w:lineRule="exact"/>
        <w:ind w:firstLine="640"/>
        <w:jc w:val="both"/>
      </w:pPr>
      <w:r>
        <w:rPr>
          <w:rFonts w:ascii="仿宋_GB2312" w:hAnsi="仿宋_GB2312" w:eastAsia="仿宋_GB2312"/>
          <w:sz w:val="32"/>
        </w:rPr>
        <w:t>（九）负责管理广播、电视、村村通、户户通、新闻网站、融媒体采编系统、传输发射系统的建设、开发、改造、维护和稳定运行；负责广播、电视、网络直播的技术保障；负责采编播发系统、技术设备的安全维护、维修；负责系统、平台服务器等运行实时监控和运维值班，及时排除平台、系统、网络故障；负责技术类固定资产管理。</w:t>
      </w:r>
    </w:p>
    <w:p w14:paraId="425A4BCE">
      <w:pPr>
        <w:spacing w:line="580" w:lineRule="exact"/>
        <w:ind w:firstLine="640"/>
        <w:jc w:val="both"/>
      </w:pPr>
      <w:r>
        <w:rPr>
          <w:rFonts w:ascii="仿宋_GB2312" w:hAnsi="仿宋_GB2312" w:eastAsia="仿宋_GB2312"/>
          <w:sz w:val="32"/>
        </w:rPr>
        <w:t>（十）负责广播电视项目专项资金的申报、执行、监督，监督管理专项资金预算执行，</w:t>
      </w:r>
      <w:r>
        <w:rPr>
          <w:rFonts w:hint="eastAsia" w:ascii="仿宋_GB2312" w:hAnsi="仿宋_GB2312" w:eastAsia="仿宋_GB2312"/>
          <w:sz w:val="32"/>
          <w:lang w:eastAsia="zh-CN"/>
        </w:rPr>
        <w:t>按照</w:t>
      </w:r>
      <w:r>
        <w:rPr>
          <w:rFonts w:ascii="仿宋_GB2312" w:hAnsi="仿宋_GB2312" w:eastAsia="仿宋_GB2312"/>
          <w:sz w:val="32"/>
        </w:rPr>
        <w:t>《中华人民共和国预算法》和国库支付、政府采购等有关要求及时下达、拨付资金，会同财政局做好项目绩效支出评价，协助州广播电视台做好项目的绩效评价。</w:t>
      </w:r>
    </w:p>
    <w:p w14:paraId="4017F2F3">
      <w:pPr>
        <w:spacing w:line="580" w:lineRule="exact"/>
        <w:ind w:firstLine="640"/>
        <w:jc w:val="both"/>
      </w:pPr>
      <w:r>
        <w:rPr>
          <w:rFonts w:ascii="仿宋_GB2312" w:hAnsi="仿宋_GB2312" w:eastAsia="仿宋_GB2312"/>
          <w:sz w:val="32"/>
        </w:rPr>
        <w:t>（十一）负责建立健全中心采编工作以外的各项管理规章制度，负责管理中心行政管理、党建、财务、人事、后勤保障等工作。</w:t>
      </w:r>
    </w:p>
    <w:p w14:paraId="3AD8F534">
      <w:pPr>
        <w:spacing w:line="580" w:lineRule="exact"/>
        <w:ind w:firstLine="640"/>
        <w:jc w:val="both"/>
      </w:pPr>
      <w:r>
        <w:rPr>
          <w:rFonts w:ascii="仿宋_GB2312" w:hAnsi="仿宋_GB2312" w:eastAsia="仿宋_GB2312"/>
          <w:sz w:val="32"/>
        </w:rPr>
        <w:t>（十二）法律法规规定的其他职责。</w:t>
      </w:r>
    </w:p>
    <w:p w14:paraId="645D733C">
      <w:pPr>
        <w:spacing w:line="640" w:lineRule="exact"/>
        <w:ind w:firstLine="640"/>
        <w:jc w:val="both"/>
        <w:outlineLvl w:val="2"/>
      </w:pPr>
      <w:r>
        <w:rPr>
          <w:rFonts w:ascii="黑体" w:hAnsi="黑体" w:eastAsia="黑体"/>
          <w:sz w:val="32"/>
        </w:rPr>
        <w:t>二、机构设置及人员情况</w:t>
      </w:r>
    </w:p>
    <w:p w14:paraId="4ADD3247">
      <w:pPr>
        <w:spacing w:line="580" w:lineRule="exact"/>
        <w:ind w:firstLine="640"/>
        <w:jc w:val="both"/>
      </w:pPr>
      <w:r>
        <w:rPr>
          <w:rFonts w:ascii="仿宋_GB2312" w:hAnsi="仿宋_GB2312" w:eastAsia="仿宋_GB2312"/>
          <w:sz w:val="32"/>
        </w:rPr>
        <w:t>且末县融媒体中心2024年度，实有人数47人，其中：在职人员22人，减少6人；离休人员0人，增加0人；退休人员25人,增加3人。</w:t>
      </w:r>
    </w:p>
    <w:p w14:paraId="7399FA5B">
      <w:pPr>
        <w:spacing w:line="580" w:lineRule="exact"/>
        <w:ind w:firstLine="640"/>
        <w:jc w:val="both"/>
      </w:pPr>
      <w:r>
        <w:rPr>
          <w:rFonts w:ascii="仿宋_GB2312" w:hAnsi="仿宋_GB2312" w:eastAsia="仿宋_GB2312"/>
          <w:sz w:val="32"/>
        </w:rPr>
        <w:t>且末县融媒体中心无下属预算单位，下设6个科室，分别是：办公室、总编室、新闻信息采集中心、编辑中心、播出中心、技术中心。</w:t>
      </w:r>
    </w:p>
    <w:p w14:paraId="628017E4">
      <w:r>
        <w:br w:type="page"/>
      </w:r>
    </w:p>
    <w:p w14:paraId="3805C2A0">
      <w:pPr>
        <w:spacing w:line="240" w:lineRule="auto"/>
        <w:jc w:val="center"/>
        <w:outlineLvl w:val="1"/>
      </w:pPr>
      <w:r>
        <w:rPr>
          <w:rFonts w:ascii="黑体" w:hAnsi="黑体" w:eastAsia="黑体"/>
          <w:sz w:val="32"/>
        </w:rPr>
        <w:t>第二部分 部门决算情况说明</w:t>
      </w:r>
    </w:p>
    <w:p w14:paraId="456B6FF8">
      <w:pPr>
        <w:spacing w:line="640" w:lineRule="exact"/>
        <w:ind w:firstLine="640"/>
        <w:jc w:val="both"/>
        <w:outlineLvl w:val="2"/>
      </w:pPr>
      <w:r>
        <w:rPr>
          <w:rFonts w:ascii="黑体" w:hAnsi="黑体" w:eastAsia="黑体"/>
          <w:sz w:val="32"/>
        </w:rPr>
        <w:t>一、收入支出决算总体情况说明</w:t>
      </w:r>
    </w:p>
    <w:p w14:paraId="282D653D">
      <w:pPr>
        <w:spacing w:line="580" w:lineRule="exact"/>
        <w:ind w:firstLine="640"/>
        <w:jc w:val="both"/>
      </w:pPr>
      <w:r>
        <w:rPr>
          <w:rFonts w:ascii="仿宋_GB2312" w:hAnsi="仿宋_GB2312" w:eastAsia="仿宋_GB2312"/>
          <w:b/>
          <w:sz w:val="32"/>
        </w:rPr>
        <w:t>2024年度收入总计576.82万元，</w:t>
      </w:r>
      <w:r>
        <w:rPr>
          <w:rFonts w:ascii="仿宋_GB2312" w:hAnsi="仿宋_GB2312" w:eastAsia="仿宋_GB2312"/>
          <w:b w:val="0"/>
          <w:sz w:val="32"/>
        </w:rPr>
        <w:t>其中：本年收入合计576.82万元，使用非财政拨款结余（含专用结余）0.00万元，年初结转和结余0.00万元。</w:t>
      </w:r>
    </w:p>
    <w:p w14:paraId="29CA94BC">
      <w:pPr>
        <w:spacing w:line="580" w:lineRule="exact"/>
        <w:ind w:firstLine="640"/>
        <w:jc w:val="both"/>
      </w:pPr>
      <w:r>
        <w:rPr>
          <w:rFonts w:ascii="仿宋_GB2312" w:hAnsi="仿宋_GB2312" w:eastAsia="仿宋_GB2312"/>
          <w:b/>
          <w:sz w:val="32"/>
        </w:rPr>
        <w:t>2024年度支出总计576.82万元，</w:t>
      </w:r>
      <w:r>
        <w:rPr>
          <w:rFonts w:ascii="仿宋_GB2312" w:hAnsi="仿宋_GB2312" w:eastAsia="仿宋_GB2312"/>
          <w:b w:val="0"/>
          <w:sz w:val="32"/>
        </w:rPr>
        <w:t>其中：本年支出合计576.82万元，结余分配0.00万元，年末结转和结余0.00万元。</w:t>
      </w:r>
    </w:p>
    <w:p w14:paraId="6E872A30">
      <w:pPr>
        <w:spacing w:line="580" w:lineRule="exact"/>
        <w:ind w:firstLine="640"/>
        <w:jc w:val="both"/>
      </w:pPr>
      <w:r>
        <w:rPr>
          <w:rFonts w:ascii="仿宋_GB2312" w:hAnsi="仿宋_GB2312" w:eastAsia="仿宋_GB2312"/>
          <w:b w:val="0"/>
          <w:sz w:val="32"/>
        </w:rPr>
        <w:t>收入支出总体与上年相比，减少44.30万元，下降7.13%，主要原因是：一是本年在职人员减少，相关人员经费较上年减少；二是去年补发2020年-2022年度在职人员第</w:t>
      </w:r>
      <w:r>
        <w:rPr>
          <w:rFonts w:hint="eastAsia" w:ascii="仿宋_GB2312" w:hAnsi="仿宋_GB2312" w:eastAsia="仿宋_GB2312"/>
          <w:b w:val="0"/>
          <w:sz w:val="32"/>
          <w:lang w:val="en-US" w:eastAsia="zh-CN"/>
        </w:rPr>
        <w:t>十三</w:t>
      </w:r>
      <w:r>
        <w:rPr>
          <w:rFonts w:ascii="仿宋_GB2312" w:hAnsi="仿宋_GB2312" w:eastAsia="仿宋_GB2312"/>
          <w:b w:val="0"/>
          <w:sz w:val="32"/>
        </w:rPr>
        <w:t>个月奖励工资和一次性奖金，补发2021年和2022年绩效工资，补发艰苦边远地区津贴增加，本年无补发经费。</w:t>
      </w:r>
    </w:p>
    <w:p w14:paraId="468C2757">
      <w:pPr>
        <w:spacing w:line="640" w:lineRule="exact"/>
        <w:ind w:firstLine="640"/>
        <w:jc w:val="both"/>
        <w:outlineLvl w:val="2"/>
      </w:pPr>
      <w:r>
        <w:rPr>
          <w:rFonts w:ascii="黑体" w:hAnsi="黑体" w:eastAsia="黑体"/>
          <w:sz w:val="32"/>
        </w:rPr>
        <w:t>二、收入决算情况说明</w:t>
      </w:r>
    </w:p>
    <w:p w14:paraId="2130EAE4">
      <w:pPr>
        <w:spacing w:line="580" w:lineRule="exact"/>
        <w:ind w:firstLine="640"/>
        <w:jc w:val="both"/>
      </w:pPr>
      <w:r>
        <w:rPr>
          <w:rFonts w:ascii="仿宋_GB2312" w:hAnsi="仿宋_GB2312" w:eastAsia="仿宋_GB2312"/>
          <w:b/>
          <w:sz w:val="32"/>
        </w:rPr>
        <w:t>本年收入576.82万元，</w:t>
      </w:r>
      <w:r>
        <w:rPr>
          <w:rFonts w:ascii="仿宋_GB2312" w:hAnsi="仿宋_GB2312" w:eastAsia="仿宋_GB2312"/>
          <w:b w:val="0"/>
          <w:sz w:val="32"/>
        </w:rPr>
        <w:t>其中：财政拨款收入576.82万元，占100.00%；上级补助收入0.00万元，占0.00%；事业收入0.00万元，占0.00%；经营收入0.00万元，占0.00%；附属单位上缴收入0.00万元，占0.00%；其他收入0.00万元，占0.00%。</w:t>
      </w:r>
    </w:p>
    <w:p w14:paraId="34A3AF2A">
      <w:pPr>
        <w:spacing w:line="640" w:lineRule="exact"/>
        <w:ind w:firstLine="640"/>
        <w:jc w:val="both"/>
        <w:outlineLvl w:val="2"/>
      </w:pPr>
      <w:r>
        <w:rPr>
          <w:rFonts w:ascii="黑体" w:hAnsi="黑体" w:eastAsia="黑体"/>
          <w:sz w:val="32"/>
        </w:rPr>
        <w:t>三、支出决算情况说明</w:t>
      </w:r>
    </w:p>
    <w:p w14:paraId="34A3DCC8">
      <w:pPr>
        <w:spacing w:line="580" w:lineRule="exact"/>
        <w:ind w:firstLine="640"/>
        <w:jc w:val="both"/>
      </w:pPr>
      <w:r>
        <w:rPr>
          <w:rFonts w:ascii="仿宋_GB2312" w:hAnsi="仿宋_GB2312" w:eastAsia="仿宋_GB2312"/>
          <w:b/>
          <w:sz w:val="32"/>
        </w:rPr>
        <w:t>本年支出576.82万元，</w:t>
      </w:r>
      <w:r>
        <w:rPr>
          <w:rFonts w:ascii="仿宋_GB2312" w:hAnsi="仿宋_GB2312" w:eastAsia="仿宋_GB2312"/>
          <w:b w:val="0"/>
          <w:sz w:val="32"/>
        </w:rPr>
        <w:t>其中：基本支出484.84万元，占84.05%；项目支出91.98万元，占15.95%；上缴上级支出0.00万元，占0.00%；经营支出0.00万元，占0.00%；对附属单位补助支出0.00万元，占0.00%。</w:t>
      </w:r>
    </w:p>
    <w:p w14:paraId="690671ED">
      <w:pPr>
        <w:spacing w:line="640" w:lineRule="exact"/>
        <w:ind w:firstLine="640"/>
        <w:jc w:val="both"/>
        <w:outlineLvl w:val="2"/>
      </w:pPr>
      <w:r>
        <w:rPr>
          <w:rFonts w:ascii="黑体" w:hAnsi="黑体" w:eastAsia="黑体"/>
          <w:sz w:val="32"/>
        </w:rPr>
        <w:t>四、财政拨款收入支出决算总体情况说明</w:t>
      </w:r>
    </w:p>
    <w:p w14:paraId="3800B41A">
      <w:pPr>
        <w:spacing w:line="580" w:lineRule="exact"/>
        <w:ind w:firstLine="640"/>
        <w:jc w:val="both"/>
      </w:pPr>
      <w:r>
        <w:rPr>
          <w:rFonts w:ascii="仿宋_GB2312" w:hAnsi="仿宋_GB2312" w:eastAsia="仿宋_GB2312"/>
          <w:b/>
          <w:sz w:val="32"/>
        </w:rPr>
        <w:t>2024年度财政拨款收入总计576.82万元，</w:t>
      </w:r>
      <w:r>
        <w:rPr>
          <w:rFonts w:ascii="仿宋_GB2312" w:hAnsi="仿宋_GB2312" w:eastAsia="仿宋_GB2312"/>
          <w:b w:val="0"/>
          <w:sz w:val="32"/>
        </w:rPr>
        <w:t>其中：年初财政拨款结转和结余0.00万元，本年财政拨款收入576.82万元。</w:t>
      </w:r>
      <w:r>
        <w:rPr>
          <w:rFonts w:ascii="仿宋_GB2312" w:hAnsi="仿宋_GB2312" w:eastAsia="仿宋_GB2312"/>
          <w:b/>
          <w:sz w:val="32"/>
        </w:rPr>
        <w:t>财政拨款支出总计576.82万元，</w:t>
      </w:r>
      <w:r>
        <w:rPr>
          <w:rFonts w:ascii="仿宋_GB2312" w:hAnsi="仿宋_GB2312" w:eastAsia="仿宋_GB2312"/>
          <w:b w:val="0"/>
          <w:sz w:val="32"/>
        </w:rPr>
        <w:t>其中：年末财政拨款结转和结余0.00万元，本年财政拨款支出576.82万元。</w:t>
      </w:r>
    </w:p>
    <w:p w14:paraId="11AEEE7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减少44.30万元，下降7.13%，主要原因是：一是本年在职人员减少，相关人员经费较上年减少；二是去年补发2020年-2022年度在职人员第</w:t>
      </w:r>
      <w:r>
        <w:rPr>
          <w:rFonts w:hint="eastAsia" w:ascii="仿宋_GB2312" w:hAnsi="仿宋_GB2312" w:eastAsia="仿宋_GB2312"/>
          <w:b w:val="0"/>
          <w:sz w:val="32"/>
          <w:lang w:val="en-US" w:eastAsia="zh-CN"/>
        </w:rPr>
        <w:t>十三</w:t>
      </w:r>
      <w:r>
        <w:rPr>
          <w:rFonts w:ascii="仿宋_GB2312" w:hAnsi="仿宋_GB2312" w:eastAsia="仿宋_GB2312"/>
          <w:b w:val="0"/>
          <w:sz w:val="32"/>
        </w:rPr>
        <w:t>个月奖励工资和一次性奖金，补发2021年和2022年绩效工资，补发了艰苦边远地区津贴增加，本年无补发经费。</w:t>
      </w:r>
      <w:r>
        <w:rPr>
          <w:rFonts w:ascii="仿宋_GB2312" w:hAnsi="仿宋_GB2312" w:eastAsia="仿宋_GB2312"/>
          <w:b/>
          <w:sz w:val="32"/>
        </w:rPr>
        <w:t>与年初预算相比，</w:t>
      </w:r>
      <w:r>
        <w:rPr>
          <w:rFonts w:ascii="仿宋_GB2312" w:hAnsi="仿宋_GB2312" w:eastAsia="仿宋_GB2312"/>
          <w:b w:val="0"/>
          <w:sz w:val="32"/>
        </w:rPr>
        <w:t>年初预算数624.76万元，决算数576.82万元，预决算差异率-7.67%，主要原因是：本年度在职人员减少，年中调减人员经费，导致预决算存在差异。</w:t>
      </w:r>
    </w:p>
    <w:p w14:paraId="6CBC8E86">
      <w:pPr>
        <w:spacing w:line="640" w:lineRule="exact"/>
        <w:ind w:firstLine="640"/>
        <w:jc w:val="both"/>
        <w:outlineLvl w:val="2"/>
      </w:pPr>
      <w:r>
        <w:rPr>
          <w:rFonts w:ascii="黑体" w:hAnsi="黑体" w:eastAsia="黑体"/>
          <w:sz w:val="32"/>
        </w:rPr>
        <w:t>五、一般公共预算财政拨款支出决算情况说明</w:t>
      </w:r>
    </w:p>
    <w:p w14:paraId="4FCA09F0">
      <w:pPr>
        <w:spacing w:line="640" w:lineRule="exact"/>
        <w:ind w:firstLine="640"/>
        <w:jc w:val="both"/>
        <w:outlineLvl w:val="3"/>
      </w:pPr>
      <w:r>
        <w:rPr>
          <w:rFonts w:ascii="楷体_GB2312" w:hAnsi="楷体_GB2312" w:eastAsia="楷体_GB2312"/>
          <w:b/>
          <w:sz w:val="32"/>
        </w:rPr>
        <w:t>（一）一般公共预算财政拨款支出决算总体情况</w:t>
      </w:r>
    </w:p>
    <w:p w14:paraId="27C7385E">
      <w:pPr>
        <w:spacing w:line="580" w:lineRule="exact"/>
        <w:ind w:firstLine="640"/>
        <w:jc w:val="both"/>
      </w:pPr>
      <w:r>
        <w:rPr>
          <w:rFonts w:ascii="仿宋_GB2312" w:hAnsi="仿宋_GB2312" w:eastAsia="仿宋_GB2312"/>
          <w:b/>
          <w:sz w:val="32"/>
        </w:rPr>
        <w:t>2024年度一般公共预算财政拨款支出576.82万元，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减少44.30万元，下降7.13%，主要原因是：一是本年在职人员减少，相关人员经费较上年减少；二是去年补发2020年-2022年度在职人员第</w:t>
      </w:r>
      <w:r>
        <w:rPr>
          <w:rFonts w:hint="eastAsia" w:ascii="仿宋_GB2312" w:hAnsi="仿宋_GB2312" w:eastAsia="仿宋_GB2312"/>
          <w:b w:val="0"/>
          <w:sz w:val="32"/>
          <w:lang w:val="en-US" w:eastAsia="zh-CN"/>
        </w:rPr>
        <w:t>十三</w:t>
      </w:r>
      <w:r>
        <w:rPr>
          <w:rFonts w:ascii="仿宋_GB2312" w:hAnsi="仿宋_GB2312" w:eastAsia="仿宋_GB2312"/>
          <w:b w:val="0"/>
          <w:sz w:val="32"/>
        </w:rPr>
        <w:t>个月奖励工资和一次性奖金，补发2021年和2022年绩效工资，补发艰苦边远地区津贴增加，本年无补发经费。</w:t>
      </w:r>
      <w:r>
        <w:rPr>
          <w:rFonts w:ascii="仿宋_GB2312" w:hAnsi="仿宋_GB2312" w:eastAsia="仿宋_GB2312"/>
          <w:b/>
          <w:sz w:val="32"/>
        </w:rPr>
        <w:t>与年初预算相比,</w:t>
      </w:r>
      <w:r>
        <w:rPr>
          <w:rFonts w:ascii="仿宋_GB2312" w:hAnsi="仿宋_GB2312" w:eastAsia="仿宋_GB2312"/>
          <w:b w:val="0"/>
          <w:sz w:val="32"/>
        </w:rPr>
        <w:t>年初预算数624.76万元，决算数576.82万元，预决算差异率-7.67%，主要原因是：本年度在职人员减少，年中调减人员经费，导致预决算存在差异。</w:t>
      </w:r>
    </w:p>
    <w:p w14:paraId="5B5939F3">
      <w:pPr>
        <w:spacing w:line="640" w:lineRule="exact"/>
        <w:ind w:firstLine="640"/>
        <w:jc w:val="both"/>
        <w:outlineLvl w:val="3"/>
      </w:pPr>
      <w:r>
        <w:rPr>
          <w:rFonts w:ascii="楷体_GB2312" w:hAnsi="楷体_GB2312" w:eastAsia="楷体_GB2312"/>
          <w:b/>
          <w:sz w:val="32"/>
        </w:rPr>
        <w:t>（二）一般公共预算财政拨款支出决算结构情况</w:t>
      </w:r>
    </w:p>
    <w:p w14:paraId="040C911E">
      <w:pPr>
        <w:spacing w:line="580" w:lineRule="exact"/>
        <w:ind w:firstLine="640"/>
        <w:jc w:val="both"/>
      </w:pPr>
      <w:r>
        <w:rPr>
          <w:rFonts w:ascii="仿宋_GB2312" w:hAnsi="仿宋_GB2312" w:eastAsia="仿宋_GB2312"/>
          <w:b w:val="0"/>
          <w:sz w:val="32"/>
        </w:rPr>
        <w:t>1.文化旅游体育与传媒支出(类)431.43万元,占74.79%。</w:t>
      </w:r>
    </w:p>
    <w:p w14:paraId="57361565">
      <w:pPr>
        <w:spacing w:line="580" w:lineRule="exact"/>
        <w:ind w:firstLine="640"/>
        <w:jc w:val="both"/>
      </w:pPr>
      <w:r>
        <w:rPr>
          <w:rFonts w:ascii="仿宋_GB2312" w:hAnsi="仿宋_GB2312" w:eastAsia="仿宋_GB2312"/>
          <w:b w:val="0"/>
          <w:sz w:val="32"/>
        </w:rPr>
        <w:t>2.社会保障和就业支出(类)87.64万元,占15.19%。</w:t>
      </w:r>
    </w:p>
    <w:p w14:paraId="038EAF99">
      <w:pPr>
        <w:spacing w:line="580" w:lineRule="exact"/>
        <w:ind w:firstLine="640"/>
        <w:jc w:val="both"/>
      </w:pPr>
      <w:r>
        <w:rPr>
          <w:rFonts w:ascii="仿宋_GB2312" w:hAnsi="仿宋_GB2312" w:eastAsia="仿宋_GB2312"/>
          <w:b w:val="0"/>
          <w:sz w:val="32"/>
        </w:rPr>
        <w:t>3.卫生健康支出(类)20.74万元,占3.60%。</w:t>
      </w:r>
    </w:p>
    <w:p w14:paraId="2869B49C">
      <w:pPr>
        <w:spacing w:line="580" w:lineRule="exact"/>
        <w:ind w:firstLine="640"/>
        <w:jc w:val="both"/>
      </w:pPr>
      <w:r>
        <w:rPr>
          <w:rFonts w:ascii="仿宋_GB2312" w:hAnsi="仿宋_GB2312" w:eastAsia="仿宋_GB2312"/>
          <w:b w:val="0"/>
          <w:sz w:val="32"/>
        </w:rPr>
        <w:t>4.住房保障支出(类)37.01万元,占6.42%。</w:t>
      </w:r>
    </w:p>
    <w:p w14:paraId="213E5D2F">
      <w:pPr>
        <w:spacing w:line="640" w:lineRule="exact"/>
        <w:ind w:firstLine="640"/>
        <w:jc w:val="both"/>
        <w:outlineLvl w:val="3"/>
      </w:pPr>
      <w:r>
        <w:rPr>
          <w:rFonts w:ascii="楷体_GB2312" w:hAnsi="楷体_GB2312" w:eastAsia="楷体_GB2312"/>
          <w:b/>
          <w:sz w:val="32"/>
        </w:rPr>
        <w:t>（三）一般公共预算财政拨款支出决算具体情况</w:t>
      </w:r>
    </w:p>
    <w:p w14:paraId="7DD6BF84">
      <w:pPr>
        <w:spacing w:line="580" w:lineRule="exact"/>
        <w:ind w:firstLine="640"/>
        <w:jc w:val="both"/>
      </w:pPr>
      <w:r>
        <w:rPr>
          <w:rFonts w:ascii="仿宋_GB2312" w:hAnsi="仿宋_GB2312" w:eastAsia="仿宋_GB2312"/>
          <w:b w:val="0"/>
          <w:sz w:val="32"/>
        </w:rPr>
        <w:t>1.文化旅游体育与传媒支出(类)广播电视(款)广播电视事务(项):支出决算数为339.45万元，比上年决算减少113.59万元，下降25.07%,主要原因是：一是本年在职人员减少，相关人员经费较上年减少；二是去年补发2020年-2022年度在职人员第</w:t>
      </w:r>
      <w:r>
        <w:rPr>
          <w:rFonts w:hint="eastAsia" w:ascii="仿宋_GB2312" w:hAnsi="仿宋_GB2312" w:eastAsia="仿宋_GB2312"/>
          <w:b w:val="0"/>
          <w:sz w:val="32"/>
          <w:lang w:val="en-US" w:eastAsia="zh-CN"/>
        </w:rPr>
        <w:t>十三</w:t>
      </w:r>
      <w:r>
        <w:rPr>
          <w:rFonts w:ascii="仿宋_GB2312" w:hAnsi="仿宋_GB2312" w:eastAsia="仿宋_GB2312"/>
          <w:b w:val="0"/>
          <w:sz w:val="32"/>
        </w:rPr>
        <w:t>个月奖励工资和一次性奖金，补发2021年和2022年绩效工资，补发艰苦边远地区津贴增加，本年无补发经费。</w:t>
      </w:r>
    </w:p>
    <w:p w14:paraId="7DBBA8D2">
      <w:pPr>
        <w:spacing w:line="580" w:lineRule="exact"/>
        <w:ind w:firstLine="640"/>
        <w:jc w:val="both"/>
      </w:pPr>
      <w:r>
        <w:rPr>
          <w:rFonts w:ascii="仿宋_GB2312" w:hAnsi="仿宋_GB2312" w:eastAsia="仿宋_GB2312"/>
          <w:b w:val="0"/>
          <w:sz w:val="32"/>
        </w:rPr>
        <w:t>2.文化旅游体育与传媒支出(类)广播电视(款)其他广播电视支出(项):支出决算数为37.41万元，比上年决算增加5.09万元，增长15.75%,主要原因是：本年增加2024年自治区广播电视节目无线覆盖运行维护经费等项目经费，导致相关经费增加。</w:t>
      </w:r>
    </w:p>
    <w:p w14:paraId="3156C91D">
      <w:pPr>
        <w:spacing w:line="580" w:lineRule="exact"/>
        <w:ind w:firstLine="640"/>
        <w:jc w:val="both"/>
      </w:pPr>
      <w:r>
        <w:rPr>
          <w:rFonts w:ascii="仿宋_GB2312" w:hAnsi="仿宋_GB2312" w:eastAsia="仿宋_GB2312"/>
          <w:b w:val="0"/>
          <w:sz w:val="32"/>
        </w:rPr>
        <w:t>3.文化旅游体育与传媒支出(类)其他文化旅游体育与传媒支出(款)其他文化旅游体育与传媒支出(项):支出决算数为54.57万元，比上年决算增加49.57万元，增长991.40%,主要原因是：本年增加2024年少数民族地区和边疆地区文化安全补助资金、2024年中央补助地方公共文化服务体系建设补助资金、2023年少数民族地区和边疆地区文化安全补助资金（地县台站运行维护经费）等项目经费，导致相关经费增加。</w:t>
      </w:r>
    </w:p>
    <w:p w14:paraId="55A743B0">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4.社会保障和就业支出(类)行政事业单位养老支出(款)事业单位离退休(项):支出决算数为17.65万元，比上年决算增加4.76万元，增长36.93%,主要原因是：本年退休人员增加，退休费支出增加。</w:t>
      </w:r>
    </w:p>
    <w:p w14:paraId="3EAAF0C2">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45.89万元，比上年决算减少0.43万元，下降0.93%,主要原因是：本年在职人员减少，单位基本养老保险缴费较上年减少。</w:t>
      </w:r>
    </w:p>
    <w:p w14:paraId="350414BB">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24.11万元，比上年决算增加11.55万元，增长91.96%,主要原因是：本年新增退休人员较上年增加，职业年金缴费支出增加。</w:t>
      </w:r>
    </w:p>
    <w:p w14:paraId="6E0D61FE">
      <w:pPr>
        <w:spacing w:line="580" w:lineRule="exact"/>
        <w:ind w:firstLine="640"/>
        <w:jc w:val="both"/>
      </w:pPr>
      <w:r>
        <w:rPr>
          <w:rFonts w:ascii="仿宋_GB2312" w:hAnsi="仿宋_GB2312" w:eastAsia="仿宋_GB2312"/>
          <w:b w:val="0"/>
          <w:sz w:val="32"/>
        </w:rPr>
        <w:t>7.卫生健康支出(类)行政事业单位医疗(款)事业单位医疗(项):支出决算数为20.74万元，比上年决算减少1.14万元，下降5.21%,主要原因是：本年在职人员减少，事业单位医疗支出较上年减少。</w:t>
      </w:r>
    </w:p>
    <w:p w14:paraId="7D59C2F7">
      <w:pPr>
        <w:spacing w:line="580" w:lineRule="exact"/>
        <w:ind w:firstLine="640"/>
        <w:jc w:val="both"/>
      </w:pPr>
      <w:r>
        <w:rPr>
          <w:rFonts w:ascii="仿宋_GB2312" w:hAnsi="仿宋_GB2312" w:eastAsia="仿宋_GB2312"/>
          <w:b w:val="0"/>
          <w:sz w:val="32"/>
        </w:rPr>
        <w:t>8.住房保障支出(类)住房改革支出(款)住房公积金(项):支出决算数为37.01万元，比上年决算增加1.62万元，增长4.58%,主要原因是：本年在职人员工资基数调增，公积金缴费基数上涨，相应支出增加。</w:t>
      </w:r>
    </w:p>
    <w:p w14:paraId="68FC6DE3">
      <w:pPr>
        <w:spacing w:line="580" w:lineRule="exact"/>
        <w:ind w:firstLine="640"/>
        <w:jc w:val="both"/>
      </w:pPr>
      <w:r>
        <w:rPr>
          <w:rFonts w:ascii="仿宋_GB2312" w:hAnsi="仿宋_GB2312" w:eastAsia="仿宋_GB2312"/>
          <w:b w:val="0"/>
          <w:sz w:val="32"/>
        </w:rPr>
        <w:t>9.其他支出(类)其他支出(款)其他支出(项):支出决算数为0.00万元，比上年决算减少1.74万元，下降100.00%,主要原因是：本年度减少为民办实事经费。</w:t>
      </w:r>
    </w:p>
    <w:p w14:paraId="07B766F4">
      <w:pPr>
        <w:spacing w:line="640" w:lineRule="exact"/>
        <w:ind w:firstLine="640"/>
        <w:jc w:val="both"/>
        <w:outlineLvl w:val="2"/>
      </w:pPr>
      <w:r>
        <w:rPr>
          <w:rFonts w:ascii="黑体" w:hAnsi="黑体" w:eastAsia="黑体"/>
          <w:sz w:val="32"/>
        </w:rPr>
        <w:t>六、一般公共预算财政拨款基本支出决算情况说明</w:t>
      </w:r>
    </w:p>
    <w:p w14:paraId="42EB69AE">
      <w:pPr>
        <w:spacing w:line="580" w:lineRule="exact"/>
        <w:ind w:firstLine="640"/>
        <w:jc w:val="both"/>
      </w:pPr>
      <w:r>
        <w:rPr>
          <w:rFonts w:ascii="仿宋_GB2312" w:hAnsi="仿宋_GB2312" w:eastAsia="仿宋_GB2312"/>
          <w:b w:val="0"/>
          <w:sz w:val="32"/>
        </w:rPr>
        <w:t>2024年度一般公共预算财政拨款基本支出484.84万元，其中：</w:t>
      </w:r>
      <w:r>
        <w:rPr>
          <w:rFonts w:ascii="仿宋_GB2312" w:hAnsi="仿宋_GB2312" w:eastAsia="仿宋_GB2312"/>
          <w:b/>
          <w:sz w:val="32"/>
        </w:rPr>
        <w:t>人员经费478.44万元，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包括：基本工资、津贴补贴、奖金、机关事业单位基本养老保险缴费、职业年金缴费、职工基本医疗保险缴费、其他社会保障缴费、住房公积金、退休费、抚恤金、生活补助、奖励金。</w:t>
      </w:r>
    </w:p>
    <w:p w14:paraId="00AB6798">
      <w:pPr>
        <w:spacing w:line="580" w:lineRule="exact"/>
        <w:ind w:firstLine="640"/>
        <w:jc w:val="both"/>
      </w:pPr>
      <w:r>
        <w:rPr>
          <w:rFonts w:ascii="仿宋_GB2312" w:hAnsi="仿宋_GB2312" w:eastAsia="仿宋_GB2312"/>
          <w:b/>
          <w:sz w:val="32"/>
        </w:rPr>
        <w:t>公用经费6.40万元，</w:t>
      </w:r>
      <w:r>
        <w:rPr>
          <w:rFonts w:ascii="仿宋_GB2312" w:hAnsi="仿宋_GB2312" w:eastAsia="仿宋_GB2312"/>
          <w:b w:val="0"/>
          <w:sz w:val="32"/>
        </w:rPr>
        <w:t>包括：办公费、手续费、水费、邮电费、租赁费、劳务费、工会经费、公务用车运行维护费、其他交通费用、其他商品和服务支出、办公设备购置。</w:t>
      </w:r>
    </w:p>
    <w:p w14:paraId="33898427">
      <w:pPr>
        <w:spacing w:line="640" w:lineRule="exact"/>
        <w:ind w:firstLine="640"/>
        <w:jc w:val="both"/>
        <w:outlineLvl w:val="2"/>
      </w:pPr>
      <w:r>
        <w:rPr>
          <w:rFonts w:ascii="黑体" w:hAnsi="黑体" w:eastAsia="黑体"/>
          <w:sz w:val="32"/>
        </w:rPr>
        <w:t>七、政府性基金预算财政拨款收入支出决算情况说明</w:t>
      </w:r>
    </w:p>
    <w:p w14:paraId="2759A9D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401C213">
      <w:pPr>
        <w:spacing w:line="640" w:lineRule="exact"/>
        <w:ind w:firstLine="640"/>
        <w:jc w:val="both"/>
        <w:outlineLvl w:val="2"/>
      </w:pPr>
      <w:r>
        <w:rPr>
          <w:rFonts w:ascii="黑体" w:hAnsi="黑体" w:eastAsia="黑体"/>
          <w:sz w:val="32"/>
        </w:rPr>
        <w:t>八、国有资本经营预算财政拨款收入支出决算情况说明</w:t>
      </w:r>
    </w:p>
    <w:p w14:paraId="0EB6797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7F9A269">
      <w:pPr>
        <w:spacing w:line="640" w:lineRule="exact"/>
        <w:ind w:firstLine="640"/>
        <w:jc w:val="both"/>
        <w:outlineLvl w:val="2"/>
      </w:pPr>
      <w:r>
        <w:rPr>
          <w:rFonts w:ascii="黑体" w:hAnsi="黑体" w:eastAsia="黑体"/>
          <w:sz w:val="32"/>
        </w:rPr>
        <w:t>九、财政拨款“三公”经费支出决算情况说明</w:t>
      </w:r>
    </w:p>
    <w:p w14:paraId="1B7DCAA1">
      <w:pPr>
        <w:spacing w:line="580" w:lineRule="exact"/>
        <w:ind w:firstLine="640"/>
        <w:jc w:val="both"/>
      </w:pPr>
      <w:r>
        <w:rPr>
          <w:rFonts w:ascii="仿宋_GB2312" w:hAnsi="仿宋_GB2312" w:eastAsia="仿宋_GB2312"/>
          <w:b/>
          <w:sz w:val="32"/>
        </w:rPr>
        <w:t>2024年度财政拨款“三公”经费支出1.48万元，</w:t>
      </w:r>
      <w:r>
        <w:rPr>
          <w:rFonts w:ascii="仿宋_GB2312" w:hAnsi="仿宋_GB2312" w:eastAsia="仿宋_GB2312"/>
          <w:b w:val="0"/>
          <w:sz w:val="32"/>
        </w:rPr>
        <w:t>比上年增加0.06万元，增长4.23%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1.48万元，占100.00%，比上年增加0.06万元，增长4.23%，主要原因是：本年因业务需求，用车次数增加，燃油费增加，导致公务用车运行维护费较上年增加。公务接待费支出0.00万元，占0.00%，比上年增加0.00万元，增长0.00%，主要原因是：2023年与2024年均未安排公务接待费支出。</w:t>
      </w:r>
    </w:p>
    <w:p w14:paraId="3E5861D1">
      <w:pPr>
        <w:spacing w:line="580" w:lineRule="exact"/>
        <w:ind w:firstLine="640"/>
        <w:jc w:val="both"/>
      </w:pPr>
      <w:r>
        <w:rPr>
          <w:rFonts w:ascii="仿宋_GB2312" w:hAnsi="仿宋_GB2312" w:eastAsia="仿宋_GB2312"/>
          <w:b/>
          <w:sz w:val="32"/>
        </w:rPr>
        <w:t>具体情况如下：</w:t>
      </w:r>
    </w:p>
    <w:p w14:paraId="4B2E032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26C7408">
      <w:pPr>
        <w:spacing w:line="580" w:lineRule="exact"/>
        <w:ind w:firstLine="640"/>
        <w:jc w:val="both"/>
      </w:pPr>
      <w:r>
        <w:rPr>
          <w:rFonts w:ascii="仿宋_GB2312" w:hAnsi="仿宋_GB2312" w:eastAsia="仿宋_GB2312"/>
          <w:b w:val="0"/>
          <w:sz w:val="32"/>
        </w:rPr>
        <w:t>公务用车购置及运行维护费1.48万元，其中：公务用车购置费0.00万元，公务用车运行维护费1.48万元。公务用车运行维护费开支内容包括车辆加油费、保险费、审车费等。公务用车购置数0辆，公务用车保有量3辆。国有资产占用情况中固定资产车辆3辆，与公务用车保有量差异原因是：本单位固定资产车辆与公务用车保有量一致无差异。</w:t>
      </w:r>
    </w:p>
    <w:p w14:paraId="6FFB56C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B00B3C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1.48万元，决算数1.48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1.48万元，决算数1.48万元，预决算差异率0.00%，主要原因是：严格按照预算执行，预决算无差异。公务接待费全年预算数0.00万元，决算数0.00万元，预决算差异率0.00%，主要原因是：本单位无公务接待费。</w:t>
      </w:r>
    </w:p>
    <w:p w14:paraId="0644F2F3">
      <w:pPr>
        <w:spacing w:line="640" w:lineRule="exact"/>
        <w:ind w:firstLine="640"/>
        <w:jc w:val="both"/>
        <w:outlineLvl w:val="2"/>
      </w:pPr>
      <w:r>
        <w:rPr>
          <w:rFonts w:ascii="黑体" w:hAnsi="黑体" w:eastAsia="黑体"/>
          <w:sz w:val="32"/>
        </w:rPr>
        <w:t>十、其他重要事项的情况说明</w:t>
      </w:r>
    </w:p>
    <w:p w14:paraId="00FE0EFA">
      <w:pPr>
        <w:spacing w:line="640" w:lineRule="exact"/>
        <w:ind w:firstLine="640"/>
        <w:jc w:val="both"/>
        <w:outlineLvl w:val="3"/>
      </w:pPr>
      <w:r>
        <w:rPr>
          <w:rFonts w:ascii="楷体_GB2312" w:hAnsi="楷体_GB2312" w:eastAsia="楷体_GB2312"/>
          <w:b/>
          <w:sz w:val="32"/>
        </w:rPr>
        <w:t>（一）机关运行经费及公用经费支出情况</w:t>
      </w:r>
    </w:p>
    <w:p w14:paraId="20CC9E10">
      <w:pPr>
        <w:spacing w:line="580" w:lineRule="exact"/>
        <w:ind w:firstLine="640"/>
        <w:jc w:val="both"/>
      </w:pPr>
      <w:r>
        <w:rPr>
          <w:rFonts w:ascii="仿宋_GB2312" w:hAnsi="仿宋_GB2312" w:eastAsia="仿宋_GB2312"/>
          <w:b w:val="0"/>
          <w:sz w:val="32"/>
        </w:rPr>
        <w:t>2024年度且末县融媒体中心（事业单位）公用经费支出6.40万元，比上年减少1.79万元，下降21.86%，主要原因是：严格控制公用经费，合理节约办公用品，减少不必要开支。</w:t>
      </w:r>
    </w:p>
    <w:p w14:paraId="6719B124">
      <w:pPr>
        <w:spacing w:line="640" w:lineRule="exact"/>
        <w:ind w:firstLine="640"/>
        <w:jc w:val="both"/>
        <w:outlineLvl w:val="3"/>
      </w:pPr>
      <w:r>
        <w:rPr>
          <w:rFonts w:ascii="楷体_GB2312" w:hAnsi="楷体_GB2312" w:eastAsia="楷体_GB2312"/>
          <w:b/>
          <w:sz w:val="32"/>
        </w:rPr>
        <w:t>（二）政府采购情况</w:t>
      </w:r>
    </w:p>
    <w:p w14:paraId="15D4522C">
      <w:pPr>
        <w:spacing w:line="580" w:lineRule="exact"/>
        <w:ind w:firstLine="640"/>
        <w:jc w:val="both"/>
      </w:pPr>
      <w:r>
        <w:rPr>
          <w:rFonts w:ascii="仿宋_GB2312" w:hAnsi="仿宋_GB2312" w:eastAsia="仿宋_GB2312"/>
          <w:b w:val="0"/>
          <w:sz w:val="32"/>
        </w:rPr>
        <w:t>2024年度政府采购支出总额24.08万元，其中：政府采购货物支出0.55万元、政府采购工程支出0.00万元、政府采购服务支出23.53万元。</w:t>
      </w:r>
    </w:p>
    <w:p w14:paraId="10CE8DCE">
      <w:pPr>
        <w:spacing w:line="580" w:lineRule="exact"/>
        <w:ind w:firstLine="640"/>
        <w:jc w:val="both"/>
      </w:pPr>
      <w:r>
        <w:rPr>
          <w:rFonts w:ascii="仿宋_GB2312" w:hAnsi="仿宋_GB2312" w:eastAsia="仿宋_GB2312"/>
          <w:b w:val="0"/>
          <w:sz w:val="32"/>
        </w:rPr>
        <w:t>授予中小企业合同金额23.30万元，占政府采购支出总额的96.76%，其中：授予小微企业合同金额23.30万元，占政府采购支出总额的96.76%。</w:t>
      </w:r>
    </w:p>
    <w:p w14:paraId="6C77D7B0">
      <w:pPr>
        <w:spacing w:line="640" w:lineRule="exact"/>
        <w:ind w:firstLine="640"/>
        <w:jc w:val="both"/>
        <w:outlineLvl w:val="3"/>
      </w:pPr>
      <w:r>
        <w:rPr>
          <w:rFonts w:ascii="楷体_GB2312" w:hAnsi="楷体_GB2312" w:eastAsia="楷体_GB2312"/>
          <w:b/>
          <w:sz w:val="32"/>
        </w:rPr>
        <w:t>（三）国有资产占用情况说明</w:t>
      </w:r>
    </w:p>
    <w:p w14:paraId="6559A1E6">
      <w:pPr>
        <w:spacing w:line="580" w:lineRule="exact"/>
        <w:ind w:firstLine="640"/>
        <w:jc w:val="both"/>
      </w:pPr>
      <w:r>
        <w:rPr>
          <w:rFonts w:ascii="仿宋_GB2312" w:hAnsi="仿宋_GB2312" w:eastAsia="仿宋_GB2312"/>
          <w:b w:val="0"/>
          <w:sz w:val="32"/>
        </w:rPr>
        <w:t>截至2024年12月31日，房屋1,439.26平方米，价值179.95万元。车辆3辆，价值38.10万元，其中：副部（省）级及以上领导用车0辆、主要负责人用车0辆、机要通信用车0辆、应急保障用车0辆、执法执勤用车0辆、特种专业技术用车1辆、离退休干部服务用车0辆、其他用车2辆，其他用车主要是：一般公务用车。单价100万元（含）以上设备（不含车辆）1台（套）。</w:t>
      </w:r>
    </w:p>
    <w:p w14:paraId="248A9DE5">
      <w:pPr>
        <w:spacing w:line="640" w:lineRule="exact"/>
        <w:ind w:firstLine="640"/>
        <w:jc w:val="both"/>
        <w:outlineLvl w:val="2"/>
      </w:pPr>
      <w:r>
        <w:rPr>
          <w:rFonts w:ascii="黑体" w:hAnsi="黑体" w:eastAsia="黑体"/>
          <w:sz w:val="32"/>
        </w:rPr>
        <w:t>十一、预算绩效的情况说明</w:t>
      </w:r>
    </w:p>
    <w:p w14:paraId="57AC576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576.72万元，实际执行总额576.72万元；预算绩效评价项目3个，全年预算数69.55万元，全年执行数69.55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绩效档案归档工作有待提高，对档案工作重视程度不高，意识淡薄。单位人员对绩效档案管理工作重视程度不够，不注重关键时间节点材料的鉴定归档，造成绩效管理工作档案缺失；单位人员对档案管理工作缺少针对性和目的性，对绩效档案工作重要性的认识不足，缺乏熟练的业务知识，使绩效档案管理与实际业务存在一定偏差，未发挥其综合价值。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具体附整体支出绩效自评表，项目支出绩效自评表和评价报告。</w:t>
      </w:r>
    </w:p>
    <w:p w14:paraId="64AE811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49152A3">
        <w:tblPrEx>
          <w:tblCellMar>
            <w:top w:w="0" w:type="dxa"/>
            <w:left w:w="108" w:type="dxa"/>
            <w:bottom w:w="0" w:type="dxa"/>
            <w:right w:w="108" w:type="dxa"/>
          </w:tblCellMar>
        </w:tblPrEx>
        <w:tc>
          <w:tcPr>
            <w:tcW w:w="8840" w:type="dxa"/>
            <w:gridSpan w:val="8"/>
            <w:vAlign w:val="center"/>
          </w:tcPr>
          <w:p w14:paraId="0AE6BE6B">
            <w:pPr>
              <w:jc w:val="center"/>
            </w:pPr>
            <w:r>
              <w:rPr>
                <w:rFonts w:ascii="宋体" w:hAnsi="宋体" w:eastAsia="宋体"/>
                <w:sz w:val="24"/>
              </w:rPr>
              <w:t>单位整体支出绩效自评表</w:t>
            </w:r>
          </w:p>
        </w:tc>
      </w:tr>
      <w:tr w14:paraId="66D157D6">
        <w:tblPrEx>
          <w:tblCellMar>
            <w:top w:w="0" w:type="dxa"/>
            <w:left w:w="108" w:type="dxa"/>
            <w:bottom w:w="0" w:type="dxa"/>
            <w:right w:w="108" w:type="dxa"/>
          </w:tblCellMar>
        </w:tblPrEx>
        <w:tc>
          <w:tcPr>
            <w:tcW w:w="8840" w:type="dxa"/>
            <w:gridSpan w:val="8"/>
            <w:vAlign w:val="center"/>
          </w:tcPr>
          <w:p w14:paraId="38A7D225">
            <w:pPr>
              <w:jc w:val="center"/>
            </w:pPr>
            <w:r>
              <w:rPr>
                <w:rFonts w:ascii="宋体" w:hAnsi="宋体" w:eastAsia="宋体"/>
                <w:sz w:val="24"/>
              </w:rPr>
              <w:t>（2024年度）</w:t>
            </w:r>
          </w:p>
        </w:tc>
      </w:tr>
      <w:tr w14:paraId="4B1850E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6185F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F9D3AD">
            <w:pPr>
              <w:jc w:val="center"/>
            </w:pPr>
            <w:r>
              <w:rPr>
                <w:rFonts w:ascii="宋体" w:hAnsi="宋体" w:eastAsia="宋体"/>
                <w:sz w:val="16"/>
              </w:rPr>
              <w:t>且末县融媒体中心</w:t>
            </w:r>
          </w:p>
        </w:tc>
      </w:tr>
      <w:tr w14:paraId="4AA2B83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4CBC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3FE80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445627">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EE6BF">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293AB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8F51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BFDC39">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45D5AC">
            <w:pPr>
              <w:jc w:val="center"/>
            </w:pPr>
            <w:r>
              <w:rPr>
                <w:rFonts w:ascii="宋体" w:hAnsi="宋体" w:eastAsia="宋体"/>
                <w:sz w:val="16"/>
              </w:rPr>
              <w:t>得分</w:t>
            </w:r>
          </w:p>
        </w:tc>
      </w:tr>
      <w:tr w14:paraId="60C94D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6541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16D35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A805D">
            <w:pPr>
              <w:jc w:val="center"/>
            </w:pPr>
            <w:r>
              <w:rPr>
                <w:rFonts w:ascii="宋体" w:hAnsi="宋体" w:eastAsia="宋体"/>
                <w:sz w:val="16"/>
              </w:rPr>
              <w:t>603.20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71D737">
            <w:pPr>
              <w:jc w:val="center"/>
            </w:pPr>
            <w:r>
              <w:rPr>
                <w:rFonts w:ascii="宋体" w:hAnsi="宋体" w:eastAsia="宋体"/>
                <w:sz w:val="16"/>
              </w:rPr>
              <w:t>576.72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A441B">
            <w:pPr>
              <w:jc w:val="center"/>
            </w:pPr>
            <w:r>
              <w:rPr>
                <w:rFonts w:ascii="宋体" w:hAnsi="宋体" w:eastAsia="宋体"/>
                <w:sz w:val="16"/>
              </w:rPr>
              <w:t>576.72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05948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51DCF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1DE4F">
            <w:pPr>
              <w:jc w:val="center"/>
            </w:pPr>
            <w:r>
              <w:rPr>
                <w:rFonts w:ascii="宋体" w:hAnsi="宋体" w:eastAsia="宋体"/>
                <w:sz w:val="16"/>
              </w:rPr>
              <w:t>10</w:t>
            </w:r>
          </w:p>
        </w:tc>
      </w:tr>
      <w:tr w14:paraId="16217F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B4595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131F8">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D1034">
            <w:pPr>
              <w:jc w:val="center"/>
            </w:pPr>
            <w:r>
              <w:rPr>
                <w:rFonts w:ascii="宋体" w:hAnsi="宋体" w:eastAsia="宋体"/>
                <w:sz w:val="16"/>
              </w:rPr>
              <w:t>34.82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90DA7A">
            <w:pPr>
              <w:jc w:val="center"/>
            </w:pPr>
            <w:r>
              <w:rPr>
                <w:rFonts w:ascii="宋体" w:hAnsi="宋体" w:eastAsia="宋体"/>
                <w:sz w:val="16"/>
              </w:rPr>
              <w:t>91.88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AC6C4">
            <w:pPr>
              <w:jc w:val="center"/>
            </w:pPr>
            <w:r>
              <w:rPr>
                <w:rFonts w:ascii="宋体" w:hAnsi="宋体" w:eastAsia="宋体"/>
                <w:sz w:val="16"/>
              </w:rPr>
              <w:t>91.88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5DAD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AF28E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6F554">
            <w:pPr>
              <w:jc w:val="center"/>
            </w:pPr>
            <w:r>
              <w:rPr>
                <w:rFonts w:ascii="宋体" w:hAnsi="宋体" w:eastAsia="宋体"/>
                <w:sz w:val="16"/>
              </w:rPr>
              <w:t>-</w:t>
            </w:r>
          </w:p>
        </w:tc>
      </w:tr>
      <w:tr w14:paraId="594E8CE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CD1A3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441642">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723AE2">
            <w:pPr>
              <w:jc w:val="center"/>
            </w:pPr>
            <w:r>
              <w:rPr>
                <w:rFonts w:ascii="宋体" w:hAnsi="宋体" w:eastAsia="宋体"/>
                <w:sz w:val="16"/>
              </w:rPr>
              <w:t>568.38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A498D2">
            <w:pPr>
              <w:jc w:val="center"/>
            </w:pPr>
            <w:r>
              <w:rPr>
                <w:rFonts w:ascii="宋体" w:hAnsi="宋体" w:eastAsia="宋体"/>
                <w:sz w:val="16"/>
              </w:rPr>
              <w:t>484.84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AAD169">
            <w:pPr>
              <w:jc w:val="center"/>
            </w:pPr>
            <w:r>
              <w:rPr>
                <w:rFonts w:ascii="宋体" w:hAnsi="宋体" w:eastAsia="宋体"/>
                <w:sz w:val="16"/>
              </w:rPr>
              <w:t>484.84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74F8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0CBB1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441EA8">
            <w:pPr>
              <w:jc w:val="center"/>
            </w:pPr>
            <w:r>
              <w:rPr>
                <w:rFonts w:ascii="宋体" w:hAnsi="宋体" w:eastAsia="宋体"/>
                <w:sz w:val="16"/>
              </w:rPr>
              <w:t>-</w:t>
            </w:r>
          </w:p>
        </w:tc>
      </w:tr>
      <w:tr w14:paraId="7020B72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1683E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4DD37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9F9E4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4858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FB40F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24CCA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23D0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CEF685">
            <w:pPr>
              <w:jc w:val="center"/>
            </w:pPr>
            <w:r>
              <w:rPr>
                <w:rFonts w:ascii="宋体" w:hAnsi="宋体" w:eastAsia="宋体"/>
                <w:sz w:val="16"/>
              </w:rPr>
              <w:t>-</w:t>
            </w:r>
          </w:p>
        </w:tc>
      </w:tr>
      <w:tr w14:paraId="339C992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9B572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5CC0D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FCF987">
            <w:pPr>
              <w:jc w:val="center"/>
            </w:pPr>
            <w:r>
              <w:rPr>
                <w:rFonts w:ascii="宋体" w:hAnsi="宋体" w:eastAsia="宋体"/>
                <w:sz w:val="16"/>
              </w:rPr>
              <w:t>实际完成情况</w:t>
            </w:r>
          </w:p>
        </w:tc>
      </w:tr>
      <w:tr w14:paraId="38E0066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8D546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CB9570">
            <w:pPr>
              <w:jc w:val="both"/>
            </w:pPr>
            <w:r>
              <w:rPr>
                <w:rFonts w:ascii="宋体" w:hAnsi="宋体" w:eastAsia="宋体"/>
                <w:sz w:val="16"/>
              </w:rPr>
              <w:t>目标1：深入开展理论武装，统一思想认识，做好党支部理论学习中心组学习，开展基层理论宣讲活动，持续推进发声亮剑。</w:t>
            </w:r>
            <w:r>
              <w:rPr>
                <w:rFonts w:ascii="宋体" w:hAnsi="宋体" w:eastAsia="宋体"/>
                <w:sz w:val="16"/>
              </w:rPr>
              <w:br w:type="textWrapping"/>
            </w:r>
            <w:r>
              <w:rPr>
                <w:rFonts w:ascii="宋体" w:hAnsi="宋体" w:eastAsia="宋体"/>
                <w:sz w:val="16"/>
              </w:rPr>
              <w:t>目标2：聚焦总目标营造正面舆论强势，加强媒体宣传力度，做好媒体融合发展积极探索，大力培育和践行社会主义核心价值观。</w:t>
            </w:r>
            <w:r>
              <w:rPr>
                <w:rFonts w:ascii="宋体" w:hAnsi="宋体" w:eastAsia="宋体"/>
                <w:sz w:val="16"/>
              </w:rPr>
              <w:br w:type="textWrapping"/>
            </w:r>
            <w:r>
              <w:rPr>
                <w:rFonts w:ascii="宋体" w:hAnsi="宋体" w:eastAsia="宋体"/>
                <w:sz w:val="16"/>
              </w:rPr>
              <w:t>目标3：深入推进意识形态领域反分裂斗争，开展</w:t>
            </w:r>
            <w:r>
              <w:rPr>
                <w:rFonts w:hint="eastAsia" w:ascii="宋体" w:hAnsi="宋体"/>
                <w:sz w:val="16"/>
                <w:lang w:eastAsia="zh-CN"/>
              </w:rPr>
              <w:t>各类</w:t>
            </w:r>
            <w:r>
              <w:rPr>
                <w:rFonts w:ascii="宋体" w:hAnsi="宋体" w:eastAsia="宋体"/>
                <w:sz w:val="16"/>
              </w:rPr>
              <w:t>意识形态专项行动，增强审读人员</w:t>
            </w:r>
            <w:r>
              <w:rPr>
                <w:rFonts w:hint="eastAsia" w:ascii="宋体" w:hAnsi="宋体"/>
                <w:sz w:val="16"/>
                <w:lang w:eastAsia="zh-CN"/>
              </w:rPr>
              <w:t>政治</w:t>
            </w:r>
            <w:r>
              <w:rPr>
                <w:rFonts w:ascii="宋体" w:hAnsi="宋体" w:eastAsia="宋体"/>
                <w:sz w:val="16"/>
              </w:rPr>
              <w:t>敏锐性和发现问题的能力。</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B79BA0">
            <w:pPr>
              <w:jc w:val="both"/>
            </w:pPr>
            <w:r>
              <w:rPr>
                <w:rFonts w:ascii="宋体" w:hAnsi="宋体" w:eastAsia="宋体"/>
                <w:sz w:val="16"/>
              </w:rPr>
              <w:t>2024年且末县融媒体中心年初预算数603.2万元，全年执行数576.82万元， 办公耗材采购经费1万元，发射机满功率播出率达到100%，满时间度播出率达到100%，宣传材料制作完成时间48小时，考核达标24小时，机房播出安全检查完成率达到100%，：保障广播电视节目无线覆盖，丰富人民群众娱乐生活，保障群众基本文化权益，提升文化生活品质。</w:t>
            </w:r>
          </w:p>
        </w:tc>
      </w:tr>
      <w:tr w14:paraId="4523354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EBD4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7E650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0353B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41AC1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11B92">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F7D26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76ABD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12C893">
            <w:pPr>
              <w:jc w:val="center"/>
            </w:pPr>
            <w:r>
              <w:rPr>
                <w:rFonts w:ascii="宋体" w:hAnsi="宋体" w:eastAsia="宋体"/>
                <w:sz w:val="16"/>
              </w:rPr>
              <w:t>得分</w:t>
            </w:r>
          </w:p>
        </w:tc>
      </w:tr>
      <w:tr w14:paraId="41BD0B5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047CC8">
            <w:pPr>
              <w:jc w:val="center"/>
            </w:pPr>
            <w:r>
              <w:rPr>
                <w:rFonts w:ascii="宋体" w:hAnsi="宋体" w:eastAsia="宋体"/>
                <w:sz w:val="16"/>
              </w:rPr>
              <w:t>运行成本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C0E5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C70BB">
            <w:pPr>
              <w:jc w:val="center"/>
            </w:pPr>
            <w:r>
              <w:rPr>
                <w:rFonts w:ascii="宋体" w:hAnsi="宋体" w:eastAsia="宋体"/>
                <w:sz w:val="16"/>
              </w:rPr>
              <w:t>办公耗材采购经费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6087AB">
            <w:pPr>
              <w:jc w:val="center"/>
            </w:pPr>
            <w:r>
              <w:rPr>
                <w:rFonts w:ascii="宋体" w:hAnsi="宋体" w:eastAsia="宋体"/>
                <w:sz w:val="16"/>
              </w:rPr>
              <w:t>&lt;=1万元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D4BA67">
            <w:pPr>
              <w:jc w:val="center"/>
            </w:pPr>
            <w:r>
              <w:rPr>
                <w:rFonts w:ascii="宋体" w:hAnsi="宋体" w:eastAsia="宋体"/>
                <w:sz w:val="16"/>
              </w:rPr>
              <w:t>预算批复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06792F">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A1CA1">
            <w:pPr>
              <w:jc w:val="center"/>
            </w:pPr>
            <w:r>
              <w:rPr>
                <w:rFonts w:ascii="宋体" w:hAnsi="宋体" w:eastAsia="宋体"/>
                <w:sz w:val="16"/>
              </w:rPr>
              <w:t>=1万元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54973D">
            <w:pPr>
              <w:jc w:val="center"/>
            </w:pPr>
            <w:r>
              <w:rPr>
                <w:rFonts w:ascii="宋体" w:hAnsi="宋体" w:eastAsia="宋体"/>
                <w:sz w:val="16"/>
              </w:rPr>
              <w:t>20</w:t>
            </w:r>
          </w:p>
        </w:tc>
      </w:tr>
      <w:tr w14:paraId="6FD056B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55106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7613DD">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018740">
            <w:pPr>
              <w:jc w:val="center"/>
            </w:pPr>
            <w:r>
              <w:rPr>
                <w:rFonts w:ascii="宋体" w:hAnsi="宋体" w:eastAsia="宋体"/>
                <w:sz w:val="16"/>
              </w:rPr>
              <w:t>发射机满功率播出率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701042">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6BE29A">
            <w:pPr>
              <w:jc w:val="center"/>
            </w:pPr>
            <w:r>
              <w:rPr>
                <w:rFonts w:ascii="宋体" w:hAnsi="宋体" w:eastAsia="宋体"/>
                <w:sz w:val="16"/>
              </w:rPr>
              <w:t>考核达标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A0DCC1">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7A225">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A1100">
            <w:pPr>
              <w:jc w:val="center"/>
            </w:pPr>
            <w:r>
              <w:rPr>
                <w:rFonts w:ascii="宋体" w:hAnsi="宋体" w:eastAsia="宋体"/>
                <w:sz w:val="16"/>
              </w:rPr>
              <w:t>15</w:t>
            </w:r>
          </w:p>
        </w:tc>
      </w:tr>
      <w:tr w14:paraId="6AD2795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BB3AF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96265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50CD4">
            <w:pPr>
              <w:jc w:val="center"/>
            </w:pPr>
            <w:r>
              <w:rPr>
                <w:rFonts w:ascii="宋体" w:hAnsi="宋体" w:eastAsia="宋体"/>
                <w:sz w:val="16"/>
              </w:rPr>
              <w:t>满时间度播出率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5FAF3">
            <w:pPr>
              <w:jc w:val="center"/>
            </w:pPr>
            <w:r>
              <w:rPr>
                <w:rFonts w:ascii="宋体" w:hAnsi="宋体" w:eastAsia="宋体"/>
                <w:sz w:val="16"/>
              </w:rPr>
              <w:t>&gt;=100%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08DF4">
            <w:pPr>
              <w:jc w:val="center"/>
            </w:pPr>
            <w:r>
              <w:rPr>
                <w:rFonts w:ascii="宋体" w:hAnsi="宋体" w:eastAsia="宋体"/>
                <w:sz w:val="16"/>
              </w:rPr>
              <w:t>考核达标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B6639">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6FE12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4C3B2A">
            <w:pPr>
              <w:jc w:val="center"/>
            </w:pPr>
            <w:r>
              <w:rPr>
                <w:rFonts w:ascii="宋体" w:hAnsi="宋体" w:eastAsia="宋体"/>
                <w:sz w:val="16"/>
              </w:rPr>
              <w:t>15</w:t>
            </w:r>
          </w:p>
        </w:tc>
      </w:tr>
      <w:tr w14:paraId="31C9309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4254E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0DB5F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C0FB5A">
            <w:pPr>
              <w:jc w:val="center"/>
            </w:pPr>
            <w:r>
              <w:rPr>
                <w:rFonts w:ascii="宋体" w:hAnsi="宋体" w:eastAsia="宋体"/>
                <w:sz w:val="16"/>
              </w:rPr>
              <w:t>宣传材料制作完成时间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89572">
            <w:pPr>
              <w:jc w:val="center"/>
            </w:pPr>
            <w:r>
              <w:rPr>
                <w:rFonts w:ascii="宋体" w:hAnsi="宋体" w:eastAsia="宋体"/>
                <w:sz w:val="16"/>
              </w:rPr>
              <w:t>&lt;=48小时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A5B76">
            <w:pPr>
              <w:jc w:val="center"/>
            </w:pPr>
            <w:r>
              <w:rPr>
                <w:rFonts w:ascii="宋体" w:hAnsi="宋体" w:eastAsia="宋体"/>
                <w:sz w:val="16"/>
              </w:rPr>
              <w:t>年度工作计划确定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ABA7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E5056E">
            <w:pPr>
              <w:jc w:val="center"/>
            </w:pPr>
            <w:r>
              <w:rPr>
                <w:rFonts w:ascii="宋体" w:hAnsi="宋体" w:eastAsia="宋体"/>
                <w:sz w:val="16"/>
              </w:rPr>
              <w:t>=48小时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D8390A">
            <w:pPr>
              <w:jc w:val="center"/>
            </w:pPr>
            <w:r>
              <w:rPr>
                <w:rFonts w:ascii="宋体" w:hAnsi="宋体" w:eastAsia="宋体"/>
                <w:sz w:val="16"/>
              </w:rPr>
              <w:t>10</w:t>
            </w:r>
          </w:p>
        </w:tc>
      </w:tr>
      <w:tr w14:paraId="6896A50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DCE32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5618F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9275A">
            <w:pPr>
              <w:jc w:val="center"/>
            </w:pPr>
            <w:r>
              <w:rPr>
                <w:rFonts w:ascii="宋体" w:hAnsi="宋体" w:eastAsia="宋体"/>
                <w:sz w:val="16"/>
              </w:rPr>
              <w:t>考核达标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B80D8">
            <w:pPr>
              <w:jc w:val="center"/>
            </w:pPr>
            <w:r>
              <w:rPr>
                <w:rFonts w:ascii="宋体" w:hAnsi="宋体" w:eastAsia="宋体"/>
                <w:sz w:val="16"/>
              </w:rPr>
              <w:t>&lt;=24小时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A7B5A">
            <w:pPr>
              <w:jc w:val="center"/>
            </w:pPr>
            <w:r>
              <w:rPr>
                <w:rFonts w:ascii="宋体" w:hAnsi="宋体" w:eastAsia="宋体"/>
                <w:sz w:val="16"/>
              </w:rPr>
              <w:t>新闻信息发布时间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F168E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E92313">
            <w:pPr>
              <w:jc w:val="center"/>
            </w:pPr>
            <w:r>
              <w:rPr>
                <w:rFonts w:ascii="宋体" w:hAnsi="宋体" w:eastAsia="宋体"/>
                <w:sz w:val="16"/>
              </w:rPr>
              <w:t>=24小时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3BDD3">
            <w:pPr>
              <w:jc w:val="center"/>
            </w:pPr>
            <w:r>
              <w:rPr>
                <w:rFonts w:ascii="宋体" w:hAnsi="宋体" w:eastAsia="宋体"/>
                <w:sz w:val="16"/>
              </w:rPr>
              <w:t>10</w:t>
            </w:r>
          </w:p>
        </w:tc>
      </w:tr>
      <w:tr w14:paraId="61A5A69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5E996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B47FAE">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2F8E24">
            <w:pPr>
              <w:jc w:val="center"/>
            </w:pPr>
            <w:r>
              <w:rPr>
                <w:rFonts w:ascii="宋体" w:hAnsi="宋体" w:eastAsia="宋体"/>
                <w:sz w:val="16"/>
              </w:rPr>
              <w:t>机房播出安全检查完成率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582954">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70571">
            <w:pPr>
              <w:jc w:val="center"/>
            </w:pPr>
            <w:r>
              <w:rPr>
                <w:rFonts w:ascii="宋体" w:hAnsi="宋体" w:eastAsia="宋体"/>
                <w:sz w:val="16"/>
              </w:rPr>
              <w:t>年度工作计划确定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8F375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EB1CDA">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D35CF4">
            <w:pPr>
              <w:jc w:val="center"/>
            </w:pPr>
            <w:r>
              <w:rPr>
                <w:rFonts w:ascii="宋体" w:hAnsi="宋体" w:eastAsia="宋体"/>
                <w:sz w:val="16"/>
              </w:rPr>
              <w:t>10</w:t>
            </w:r>
          </w:p>
        </w:tc>
      </w:tr>
      <w:tr w14:paraId="2802C9A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369C4">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9C02B8">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138C2">
            <w:pPr>
              <w:jc w:val="center"/>
            </w:pPr>
            <w:r>
              <w:rPr>
                <w:rFonts w:ascii="宋体" w:hAnsi="宋体" w:eastAsia="宋体"/>
                <w:sz w:val="16"/>
              </w:rPr>
              <w:t>受益群众满意度（%）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A6A71">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C74DD7">
            <w:pPr>
              <w:jc w:val="center"/>
            </w:pPr>
            <w:r>
              <w:rPr>
                <w:rFonts w:ascii="宋体" w:hAnsi="宋体" w:eastAsia="宋体"/>
                <w:sz w:val="16"/>
              </w:rPr>
              <w:t>受益群众满意度（%）年度工作任务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E5F2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6E67C">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722547">
            <w:pPr>
              <w:jc w:val="center"/>
            </w:pPr>
            <w:r>
              <w:rPr>
                <w:rFonts w:ascii="宋体" w:hAnsi="宋体" w:eastAsia="宋体"/>
                <w:sz w:val="16"/>
              </w:rPr>
              <w:t>10</w:t>
            </w:r>
          </w:p>
        </w:tc>
      </w:tr>
    </w:tbl>
    <w:p w14:paraId="3531D4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B457CA3">
        <w:tblPrEx>
          <w:tblCellMar>
            <w:top w:w="0" w:type="dxa"/>
            <w:left w:w="108" w:type="dxa"/>
            <w:bottom w:w="0" w:type="dxa"/>
            <w:right w:w="108" w:type="dxa"/>
          </w:tblCellMar>
        </w:tblPrEx>
        <w:tc>
          <w:tcPr>
            <w:tcW w:w="8848" w:type="dxa"/>
            <w:gridSpan w:val="14"/>
            <w:vAlign w:val="center"/>
          </w:tcPr>
          <w:p w14:paraId="09808788">
            <w:pPr>
              <w:jc w:val="center"/>
            </w:pPr>
            <w:r>
              <w:rPr>
                <w:rFonts w:ascii="宋体" w:hAnsi="宋体" w:eastAsia="宋体"/>
                <w:sz w:val="24"/>
              </w:rPr>
              <w:t>项目支出绩效自评表</w:t>
            </w:r>
          </w:p>
        </w:tc>
      </w:tr>
      <w:tr w14:paraId="772A3B81">
        <w:tblPrEx>
          <w:tblCellMar>
            <w:top w:w="0" w:type="dxa"/>
            <w:left w:w="108" w:type="dxa"/>
            <w:bottom w:w="0" w:type="dxa"/>
            <w:right w:w="108" w:type="dxa"/>
          </w:tblCellMar>
        </w:tblPrEx>
        <w:tc>
          <w:tcPr>
            <w:tcW w:w="8848" w:type="dxa"/>
            <w:gridSpan w:val="14"/>
            <w:vAlign w:val="center"/>
          </w:tcPr>
          <w:p w14:paraId="1E7F7B1B">
            <w:pPr>
              <w:jc w:val="center"/>
            </w:pPr>
            <w:r>
              <w:rPr>
                <w:rFonts w:ascii="宋体" w:hAnsi="宋体" w:eastAsia="宋体"/>
                <w:sz w:val="24"/>
              </w:rPr>
              <w:t>(2024年度)</w:t>
            </w:r>
          </w:p>
        </w:tc>
      </w:tr>
      <w:tr w14:paraId="385318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92C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756FB6">
            <w:pPr>
              <w:jc w:val="center"/>
            </w:pPr>
            <w:r>
              <w:rPr>
                <w:rFonts w:ascii="宋体" w:hAnsi="宋体" w:eastAsia="宋体"/>
                <w:sz w:val="16"/>
              </w:rPr>
              <w:t>2023年中央补助地方公共文化服务体系建设补助资金</w:t>
            </w:r>
          </w:p>
        </w:tc>
      </w:tr>
      <w:tr w14:paraId="02B510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CC3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E94E55">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D5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4CAF2">
            <w:pPr>
              <w:jc w:val="center"/>
            </w:pPr>
            <w:r>
              <w:rPr>
                <w:rFonts w:ascii="宋体" w:hAnsi="宋体" w:eastAsia="宋体"/>
                <w:sz w:val="16"/>
              </w:rPr>
              <w:t>且末县融媒体中心</w:t>
            </w:r>
          </w:p>
        </w:tc>
      </w:tr>
      <w:tr w14:paraId="13CA89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3F6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50E5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032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4DA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644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036E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34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30BE">
            <w:pPr>
              <w:jc w:val="center"/>
            </w:pPr>
            <w:r>
              <w:rPr>
                <w:rFonts w:ascii="宋体" w:hAnsi="宋体" w:eastAsia="宋体"/>
                <w:sz w:val="16"/>
              </w:rPr>
              <w:t>得分</w:t>
            </w:r>
          </w:p>
        </w:tc>
      </w:tr>
      <w:tr w14:paraId="6C20A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5C6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58B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D7F5F">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6290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AAFC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CF90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8F01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03FB1">
            <w:pPr>
              <w:jc w:val="center"/>
            </w:pPr>
            <w:r>
              <w:rPr>
                <w:rFonts w:ascii="宋体" w:hAnsi="宋体" w:eastAsia="宋体"/>
                <w:sz w:val="16"/>
              </w:rPr>
              <w:t>10.00</w:t>
            </w:r>
          </w:p>
        </w:tc>
      </w:tr>
      <w:tr w14:paraId="730DA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D5E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EEA0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7E912">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669D0">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4BA7B">
            <w:pPr>
              <w:jc w:val="center"/>
            </w:pPr>
            <w:r>
              <w:rPr>
                <w:rFonts w:ascii="宋体" w:hAnsi="宋体" w:eastAsia="宋体"/>
                <w:sz w:val="16"/>
              </w:rPr>
              <w:t>34.73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5A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5D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22E5">
            <w:pPr>
              <w:jc w:val="center"/>
            </w:pPr>
            <w:r>
              <w:rPr>
                <w:rFonts w:ascii="宋体" w:hAnsi="宋体" w:eastAsia="宋体"/>
                <w:sz w:val="16"/>
              </w:rPr>
              <w:t>-</w:t>
            </w:r>
          </w:p>
        </w:tc>
      </w:tr>
      <w:tr w14:paraId="00639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8B7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87C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2D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CA0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7CE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4EF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4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F438">
            <w:pPr>
              <w:jc w:val="center"/>
            </w:pPr>
            <w:r>
              <w:rPr>
                <w:rFonts w:ascii="宋体" w:hAnsi="宋体" w:eastAsia="宋体"/>
                <w:sz w:val="16"/>
              </w:rPr>
              <w:t>-</w:t>
            </w:r>
          </w:p>
        </w:tc>
      </w:tr>
      <w:tr w14:paraId="4C7E62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5D8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5A87E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68CDDE">
            <w:pPr>
              <w:jc w:val="center"/>
            </w:pPr>
            <w:r>
              <w:rPr>
                <w:rFonts w:ascii="宋体" w:hAnsi="宋体" w:eastAsia="宋体"/>
                <w:sz w:val="16"/>
              </w:rPr>
              <w:t>总体目标完成情况</w:t>
            </w:r>
          </w:p>
        </w:tc>
      </w:tr>
      <w:tr w14:paraId="7F13C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D708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F8FFF7">
            <w:pPr>
              <w:jc w:val="both"/>
            </w:pPr>
            <w:r>
              <w:rPr>
                <w:rFonts w:ascii="宋体" w:hAnsi="宋体" w:eastAsia="宋体"/>
                <w:sz w:val="16"/>
              </w:rPr>
              <w:t>完成中央12套数字电视节目和中央一套、第七套模拟电视节目及2套调频广播节目的播出任务，保障广播电视发射机安全稳定运行，实现“三满”播出，巩固中央广播电视节目无线覆盖成果；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7C0D8E">
            <w:pPr>
              <w:jc w:val="both"/>
            </w:pPr>
            <w:r>
              <w:rPr>
                <w:rFonts w:ascii="宋体" w:hAnsi="宋体" w:eastAsia="宋体"/>
                <w:sz w:val="16"/>
              </w:rPr>
              <w:t>项目全款是34.73万元，支付了6.23万元电费，发射机房网络费16.5万元，铁塔检测费12万元。完成了中央12套数字电视节目和中央一套、第七套模拟电视节目及2套调频广播节目的播出任务，有效</w:t>
            </w:r>
            <w:r>
              <w:rPr>
                <w:rFonts w:hint="eastAsia" w:ascii="宋体" w:hAnsi="宋体"/>
                <w:sz w:val="16"/>
                <w:lang w:eastAsia="zh-CN"/>
              </w:rPr>
              <w:t>地</w:t>
            </w:r>
            <w:r>
              <w:rPr>
                <w:rFonts w:ascii="宋体" w:hAnsi="宋体" w:eastAsia="宋体"/>
                <w:sz w:val="16"/>
              </w:rPr>
              <w:t>保障了广播电视发射机安全稳定运行，实现“三满”播出，巩固中央广播电视节目无线覆盖成果，所有年度指标已完成。</w:t>
            </w:r>
          </w:p>
        </w:tc>
      </w:tr>
      <w:tr w14:paraId="7895A2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CAEE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7F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F9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22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D2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DF4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87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CF4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543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16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12D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F2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C8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6E60">
            <w:pPr>
              <w:jc w:val="center"/>
            </w:pPr>
            <w:r>
              <w:rPr>
                <w:rFonts w:ascii="宋体" w:hAnsi="宋体" w:eastAsia="宋体"/>
                <w:sz w:val="16"/>
              </w:rPr>
              <w:t>偏差原因分析及改进措施</w:t>
            </w:r>
          </w:p>
        </w:tc>
      </w:tr>
      <w:tr w14:paraId="5A79E5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E6E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50B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3C4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776E">
            <w:pPr>
              <w:jc w:val="center"/>
            </w:pPr>
            <w:r>
              <w:rPr>
                <w:rFonts w:ascii="宋体" w:hAnsi="宋体" w:eastAsia="宋体"/>
                <w:sz w:val="16"/>
              </w:rPr>
              <w:t>中央数字电视发射设备2套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A2D1">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6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0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DF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4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6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A879">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3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CC1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69C4">
            <w:pPr>
              <w:jc w:val="center"/>
            </w:pPr>
          </w:p>
        </w:tc>
      </w:tr>
      <w:tr w14:paraId="726F5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32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994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BE8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18C7">
            <w:pPr>
              <w:jc w:val="center"/>
            </w:pPr>
            <w:r>
              <w:rPr>
                <w:rFonts w:ascii="宋体" w:hAnsi="宋体" w:eastAsia="宋体"/>
                <w:sz w:val="16"/>
              </w:rPr>
              <w:t>中央广播、电视设备各2套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FCC4">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AE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6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824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57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7C9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EA76">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B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5A9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B923">
            <w:pPr>
              <w:jc w:val="center"/>
            </w:pPr>
          </w:p>
        </w:tc>
      </w:tr>
      <w:tr w14:paraId="05C95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B1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D4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2B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E66D0">
            <w:pPr>
              <w:jc w:val="center"/>
            </w:pPr>
            <w:r>
              <w:rPr>
                <w:rFonts w:ascii="宋体" w:hAnsi="宋体" w:eastAsia="宋体"/>
                <w:sz w:val="16"/>
              </w:rPr>
              <w:t>完整播出中央电视台12套数字电视节目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0AE2">
            <w:pPr>
              <w:jc w:val="center"/>
            </w:pPr>
            <w:r>
              <w:rPr>
                <w:rFonts w:ascii="宋体" w:hAnsi="宋体" w:eastAsia="宋体"/>
                <w:sz w:val="16"/>
              </w:rPr>
              <w:t>=12套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C5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8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64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3B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17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7F32">
            <w:pPr>
              <w:jc w:val="center"/>
            </w:pPr>
            <w:r>
              <w:rPr>
                <w:rFonts w:ascii="宋体" w:hAnsi="宋体" w:eastAsia="宋体"/>
                <w:sz w:val="16"/>
              </w:rPr>
              <w:t>=12套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5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52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1DB7">
            <w:pPr>
              <w:jc w:val="center"/>
            </w:pPr>
          </w:p>
        </w:tc>
      </w:tr>
      <w:tr w14:paraId="27A19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FB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D4A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ABD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620F">
            <w:pPr>
              <w:jc w:val="center"/>
            </w:pPr>
            <w:r>
              <w:rPr>
                <w:rFonts w:ascii="宋体" w:hAnsi="宋体" w:eastAsia="宋体"/>
                <w:sz w:val="16"/>
              </w:rPr>
              <w:t>发射机满功率播出率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2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B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99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79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94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BD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D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E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A8D1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0789">
            <w:pPr>
              <w:jc w:val="center"/>
            </w:pPr>
          </w:p>
        </w:tc>
      </w:tr>
      <w:tr w14:paraId="728D5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A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55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360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3CD2">
            <w:pPr>
              <w:jc w:val="center"/>
            </w:pPr>
            <w:r>
              <w:rPr>
                <w:rFonts w:ascii="宋体" w:hAnsi="宋体" w:eastAsia="宋体"/>
                <w:sz w:val="16"/>
              </w:rPr>
              <w:t>发射机满调制播出率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9B80">
            <w:pPr>
              <w:jc w:val="center"/>
            </w:pPr>
            <w:r>
              <w:rPr>
                <w:rFonts w:ascii="宋体" w:hAnsi="宋体" w:eastAsia="宋体"/>
                <w:sz w:val="16"/>
              </w:rPr>
              <w:t>优良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E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D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04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5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DB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CB55">
            <w:pPr>
              <w:jc w:val="center"/>
            </w:pPr>
            <w:r>
              <w:rPr>
                <w:rFonts w:ascii="宋体" w:hAnsi="宋体" w:eastAsia="宋体"/>
                <w:sz w:val="16"/>
              </w:rPr>
              <w:t>优良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0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47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ACFA">
            <w:pPr>
              <w:jc w:val="center"/>
            </w:pPr>
          </w:p>
        </w:tc>
      </w:tr>
      <w:tr w14:paraId="23B51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160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B05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2C40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88B0">
            <w:pPr>
              <w:jc w:val="center"/>
            </w:pPr>
            <w:r>
              <w:rPr>
                <w:rFonts w:ascii="宋体" w:hAnsi="宋体" w:eastAsia="宋体"/>
                <w:sz w:val="16"/>
              </w:rPr>
              <w:t>完整播出中央广播节目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184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DE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DB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68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5A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E42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A6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79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A8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5887">
            <w:pPr>
              <w:jc w:val="center"/>
            </w:pPr>
          </w:p>
        </w:tc>
      </w:tr>
      <w:tr w14:paraId="3C1D2A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1FD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CF9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C7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0F6D">
            <w:pPr>
              <w:jc w:val="center"/>
            </w:pPr>
            <w:r>
              <w:rPr>
                <w:rFonts w:ascii="宋体" w:hAnsi="宋体" w:eastAsia="宋体"/>
                <w:sz w:val="16"/>
              </w:rPr>
              <w:t>完整播出中央</w:t>
            </w:r>
            <w:bookmarkStart w:id="0" w:name="_GoBack"/>
            <w:bookmarkEnd w:id="0"/>
            <w:r>
              <w:rPr>
                <w:rFonts w:ascii="宋体" w:hAnsi="宋体" w:eastAsia="宋体"/>
                <w:sz w:val="16"/>
              </w:rPr>
              <w:t>电视节目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A60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4B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1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1A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CB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A6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2B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E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AE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599B">
            <w:pPr>
              <w:jc w:val="center"/>
            </w:pPr>
          </w:p>
        </w:tc>
      </w:tr>
      <w:tr w14:paraId="3FEC2F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1D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4B0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9C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939D">
            <w:pPr>
              <w:jc w:val="center"/>
            </w:pPr>
            <w:r>
              <w:rPr>
                <w:rFonts w:ascii="宋体" w:hAnsi="宋体" w:eastAsia="宋体"/>
                <w:sz w:val="16"/>
              </w:rPr>
              <w:t>强化机房人、财、物管理，降低运维成本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568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2D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6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CFE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39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A1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B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5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77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61EC">
            <w:pPr>
              <w:jc w:val="center"/>
            </w:pPr>
          </w:p>
        </w:tc>
      </w:tr>
      <w:tr w14:paraId="48AC50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B28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846A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20F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EB1C">
            <w:pPr>
              <w:jc w:val="center"/>
            </w:pPr>
            <w:r>
              <w:rPr>
                <w:rFonts w:ascii="宋体" w:hAnsi="宋体" w:eastAsia="宋体"/>
                <w:sz w:val="16"/>
              </w:rPr>
              <w:t>广播电视宣传覆盖率达到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7A4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7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6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5E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E3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8E4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B9D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E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C1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379D">
            <w:pPr>
              <w:jc w:val="center"/>
            </w:pPr>
          </w:p>
        </w:tc>
      </w:tr>
      <w:tr w14:paraId="62A2C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57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AD1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FA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DCF2">
            <w:pPr>
              <w:jc w:val="center"/>
            </w:pPr>
            <w:r>
              <w:rPr>
                <w:rFonts w:ascii="宋体" w:hAnsi="宋体" w:eastAsia="宋体"/>
                <w:sz w:val="16"/>
              </w:rPr>
              <w:t>各族群众及时收听收看了解</w:t>
            </w:r>
            <w:r>
              <w:rPr>
                <w:rFonts w:hint="eastAsia" w:ascii="宋体" w:hAnsi="宋体"/>
                <w:sz w:val="16"/>
                <w:lang w:eastAsia="zh-CN"/>
              </w:rPr>
              <w:t>党的路线方针政策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DD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06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38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95E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46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06C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F79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A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5C1A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6BAF">
            <w:pPr>
              <w:jc w:val="center"/>
            </w:pPr>
          </w:p>
        </w:tc>
      </w:tr>
      <w:tr w14:paraId="1365A4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60B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05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775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F4E1">
            <w:pPr>
              <w:jc w:val="center"/>
            </w:pPr>
            <w:r>
              <w:rPr>
                <w:rFonts w:ascii="宋体" w:hAnsi="宋体" w:eastAsia="宋体"/>
                <w:sz w:val="16"/>
              </w:rPr>
              <w:t>加强技术改造，降低电磁污染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4E9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C7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B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D523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90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0F7D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87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C2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44F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8036">
            <w:pPr>
              <w:jc w:val="center"/>
            </w:pPr>
          </w:p>
        </w:tc>
      </w:tr>
      <w:tr w14:paraId="7EA8A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CB9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B549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49F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8F08">
            <w:pPr>
              <w:jc w:val="center"/>
            </w:pPr>
            <w:r>
              <w:rPr>
                <w:rFonts w:ascii="宋体" w:hAnsi="宋体" w:eastAsia="宋体"/>
                <w:sz w:val="16"/>
              </w:rPr>
              <w:t>收看电视节目群众满意度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48C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4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7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25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8FB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507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FC7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2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7C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1C95">
            <w:pPr>
              <w:jc w:val="center"/>
            </w:pPr>
          </w:p>
        </w:tc>
      </w:tr>
      <w:tr w14:paraId="29D4B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C4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A8C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AB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2FC51">
            <w:pPr>
              <w:jc w:val="center"/>
            </w:pPr>
            <w:r>
              <w:rPr>
                <w:rFonts w:ascii="宋体" w:hAnsi="宋体" w:eastAsia="宋体"/>
                <w:sz w:val="16"/>
              </w:rPr>
              <w:t>收听广播节目群众满意度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73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4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58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38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1B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F8F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AC2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34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D7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F0B2">
            <w:pPr>
              <w:jc w:val="center"/>
            </w:pPr>
          </w:p>
        </w:tc>
      </w:tr>
      <w:tr w14:paraId="3DDA83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DE2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452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169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2DF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F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D2F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590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BB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C32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5158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63D892"/>
        </w:tc>
      </w:tr>
    </w:tbl>
    <w:p w14:paraId="121EEE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30CB4233">
        <w:tblPrEx>
          <w:tblCellMar>
            <w:top w:w="0" w:type="dxa"/>
            <w:left w:w="108" w:type="dxa"/>
            <w:bottom w:w="0" w:type="dxa"/>
            <w:right w:w="108" w:type="dxa"/>
          </w:tblCellMar>
        </w:tblPrEx>
        <w:tc>
          <w:tcPr>
            <w:tcW w:w="8848" w:type="dxa"/>
            <w:gridSpan w:val="14"/>
            <w:vAlign w:val="center"/>
          </w:tcPr>
          <w:p w14:paraId="7534C31C">
            <w:pPr>
              <w:jc w:val="center"/>
            </w:pPr>
            <w:r>
              <w:rPr>
                <w:rFonts w:ascii="宋体" w:hAnsi="宋体" w:eastAsia="宋体"/>
                <w:sz w:val="24"/>
              </w:rPr>
              <w:t>项目支出绩效自评表</w:t>
            </w:r>
          </w:p>
        </w:tc>
      </w:tr>
      <w:tr w14:paraId="6CE78DA4">
        <w:tblPrEx>
          <w:tblCellMar>
            <w:top w:w="0" w:type="dxa"/>
            <w:left w:w="108" w:type="dxa"/>
            <w:bottom w:w="0" w:type="dxa"/>
            <w:right w:w="108" w:type="dxa"/>
          </w:tblCellMar>
        </w:tblPrEx>
        <w:tc>
          <w:tcPr>
            <w:tcW w:w="8848" w:type="dxa"/>
            <w:gridSpan w:val="14"/>
            <w:vAlign w:val="center"/>
          </w:tcPr>
          <w:p w14:paraId="2EEBF2D1">
            <w:pPr>
              <w:jc w:val="center"/>
            </w:pPr>
            <w:r>
              <w:rPr>
                <w:rFonts w:ascii="宋体" w:hAnsi="宋体" w:eastAsia="宋体"/>
                <w:sz w:val="24"/>
              </w:rPr>
              <w:t>(2024年度)</w:t>
            </w:r>
          </w:p>
        </w:tc>
      </w:tr>
      <w:tr w14:paraId="312CCF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51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5928FA">
            <w:pPr>
              <w:jc w:val="center"/>
            </w:pPr>
            <w:r>
              <w:rPr>
                <w:rFonts w:ascii="宋体" w:hAnsi="宋体" w:eastAsia="宋体"/>
                <w:sz w:val="16"/>
              </w:rPr>
              <w:t>2024年广播电视“村村通”运行维护聘用人员经费-巴财教</w:t>
            </w:r>
            <w:r>
              <w:rPr>
                <w:rFonts w:hint="eastAsia" w:ascii="宋体" w:hAnsi="宋体"/>
                <w:sz w:val="16"/>
                <w:lang w:eastAsia="zh-CN"/>
              </w:rPr>
              <w:t>〔2023〕52号</w:t>
            </w:r>
          </w:p>
        </w:tc>
      </w:tr>
      <w:tr w14:paraId="7F91D2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82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E8CF43">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F0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19C470">
            <w:pPr>
              <w:jc w:val="center"/>
            </w:pPr>
            <w:r>
              <w:rPr>
                <w:rFonts w:ascii="宋体" w:hAnsi="宋体" w:eastAsia="宋体"/>
                <w:sz w:val="16"/>
              </w:rPr>
              <w:t>且末县融媒体中心</w:t>
            </w:r>
          </w:p>
        </w:tc>
      </w:tr>
      <w:tr w14:paraId="47FB77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59AF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BE11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A44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3AE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655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CB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F2B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AD79">
            <w:pPr>
              <w:jc w:val="center"/>
            </w:pPr>
            <w:r>
              <w:rPr>
                <w:rFonts w:ascii="宋体" w:hAnsi="宋体" w:eastAsia="宋体"/>
                <w:sz w:val="16"/>
              </w:rPr>
              <w:t>得分</w:t>
            </w:r>
          </w:p>
        </w:tc>
      </w:tr>
      <w:tr w14:paraId="1D9C7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F05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08F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98915">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1E643">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EAE6D">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0B1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FD8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016A">
            <w:pPr>
              <w:jc w:val="center"/>
            </w:pPr>
            <w:r>
              <w:rPr>
                <w:rFonts w:ascii="宋体" w:hAnsi="宋体" w:eastAsia="宋体"/>
                <w:sz w:val="16"/>
              </w:rPr>
              <w:t>10.00</w:t>
            </w:r>
          </w:p>
        </w:tc>
      </w:tr>
      <w:tr w14:paraId="38BD9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49A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95A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D7DED">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19F01">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1E0C6">
            <w:pPr>
              <w:jc w:val="center"/>
            </w:pPr>
            <w:r>
              <w:rPr>
                <w:rFonts w:ascii="宋体" w:hAnsi="宋体" w:eastAsia="宋体"/>
                <w:sz w:val="16"/>
              </w:rPr>
              <w:t>19.82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8FD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DAB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DAAC4">
            <w:pPr>
              <w:jc w:val="center"/>
            </w:pPr>
            <w:r>
              <w:rPr>
                <w:rFonts w:ascii="宋体" w:hAnsi="宋体" w:eastAsia="宋体"/>
                <w:sz w:val="16"/>
              </w:rPr>
              <w:t>-</w:t>
            </w:r>
          </w:p>
        </w:tc>
      </w:tr>
      <w:tr w14:paraId="29650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E97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5F06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072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6CD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098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2FA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30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31CE">
            <w:pPr>
              <w:jc w:val="center"/>
            </w:pPr>
            <w:r>
              <w:rPr>
                <w:rFonts w:ascii="宋体" w:hAnsi="宋体" w:eastAsia="宋体"/>
                <w:sz w:val="16"/>
              </w:rPr>
              <w:t>-</w:t>
            </w:r>
          </w:p>
        </w:tc>
      </w:tr>
      <w:tr w14:paraId="66BFFC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94F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509D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580E33">
            <w:pPr>
              <w:jc w:val="center"/>
            </w:pPr>
            <w:r>
              <w:rPr>
                <w:rFonts w:ascii="宋体" w:hAnsi="宋体" w:eastAsia="宋体"/>
                <w:sz w:val="16"/>
              </w:rPr>
              <w:t>总体目标完成情况</w:t>
            </w:r>
          </w:p>
        </w:tc>
      </w:tr>
      <w:tr w14:paraId="4C76D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A02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F213E7">
            <w:pPr>
              <w:jc w:val="both"/>
            </w:pPr>
            <w:r>
              <w:rPr>
                <w:rFonts w:ascii="宋体" w:hAnsi="宋体" w:eastAsia="宋体"/>
                <w:sz w:val="16"/>
              </w:rPr>
              <w:t>聘用专职村村通维护管理人员，承担已实施“村村通”、“户户通”和农村广播“大喇叭”工程基层运行维护工作，实现“小问题不出乡镇，一般问题不出县市”的运行维护目标，全面保障各项设施设备运行维护正常，广大农牧民群众能够正常收听收</w:t>
            </w:r>
            <w:r>
              <w:rPr>
                <w:rFonts w:hint="eastAsia" w:ascii="宋体" w:hAnsi="宋体"/>
                <w:sz w:val="16"/>
                <w:lang w:eastAsia="zh-CN"/>
              </w:rPr>
              <w:t>看</w:t>
            </w:r>
            <w:r>
              <w:rPr>
                <w:rFonts w:ascii="宋体" w:hAnsi="宋体" w:eastAsia="宋体"/>
                <w:sz w:val="16"/>
              </w:rPr>
              <w:t>广播电视节目，基层意识形态领域宣传阵地得到有效巩固。聘用12名专职村村通维护管理人员，承担已实施“村村通”、“户户通”和农村广播“大喇叭”工程基层运行维护工作，实现“小问题不出乡镇，一般问题不出县市”的运行维护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8E185B">
            <w:pPr>
              <w:jc w:val="both"/>
            </w:pPr>
            <w:r>
              <w:rPr>
                <w:rFonts w:ascii="宋体" w:hAnsi="宋体" w:eastAsia="宋体"/>
                <w:sz w:val="16"/>
              </w:rPr>
              <w:t>2024年度“村村通”运行维护聘用人员经费支出了19.82万元，主要用于发放聘用人员、村村通管理人员工资等。聘用专职村村通维护管理人员，承担已实施“村村通”、“户户通”和农村广播“大喇叭”工程基层运行维护工作，实现了“小问题不出乡镇，一般问题不出县市”的运行维护目标，全面保障各项设施设备运行维护正常，广大农牧民群众能够正常收听收</w:t>
            </w:r>
            <w:r>
              <w:rPr>
                <w:rFonts w:hint="eastAsia" w:ascii="宋体" w:hAnsi="宋体"/>
                <w:sz w:val="16"/>
                <w:lang w:eastAsia="zh-CN"/>
              </w:rPr>
              <w:t>看</w:t>
            </w:r>
            <w:r>
              <w:rPr>
                <w:rFonts w:ascii="宋体" w:hAnsi="宋体" w:eastAsia="宋体"/>
                <w:sz w:val="16"/>
              </w:rPr>
              <w:t>广播电视节目，基层意识形态领域宣传阵地得到了有效巩固。聘用11名专职村村通维护管理人员，承担已实施“村村通”、“户户通”和农村广播“大喇叭”工程基层运行维护工作，实现“小问题不出乡镇，一般问题不出县市”的运行维护目标。</w:t>
            </w:r>
            <w:r>
              <w:rPr>
                <w:rFonts w:ascii="宋体" w:hAnsi="宋体" w:eastAsia="宋体"/>
                <w:sz w:val="16"/>
              </w:rPr>
              <w:br w:type="textWrapping"/>
            </w:r>
          </w:p>
        </w:tc>
      </w:tr>
      <w:tr w14:paraId="78A4B9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4933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C3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73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410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909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C46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C8A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53D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C15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09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ADF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44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99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CBEF">
            <w:pPr>
              <w:jc w:val="center"/>
            </w:pPr>
            <w:r>
              <w:rPr>
                <w:rFonts w:ascii="宋体" w:hAnsi="宋体" w:eastAsia="宋体"/>
                <w:sz w:val="16"/>
              </w:rPr>
              <w:t>偏差原因分析及改进措施</w:t>
            </w:r>
          </w:p>
        </w:tc>
      </w:tr>
      <w:tr w14:paraId="09EC4B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FFF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CAA3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71E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317E">
            <w:pPr>
              <w:jc w:val="center"/>
            </w:pPr>
            <w:r>
              <w:rPr>
                <w:rFonts w:ascii="宋体" w:hAnsi="宋体" w:eastAsia="宋体"/>
                <w:sz w:val="16"/>
              </w:rPr>
              <w:t>发放补助人数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92AB">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9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6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8C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68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75D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2FCC">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F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3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788A">
            <w:pPr>
              <w:jc w:val="center"/>
            </w:pPr>
          </w:p>
        </w:tc>
      </w:tr>
      <w:tr w14:paraId="5AE0B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A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0C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A4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8BA9">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2799">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7C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BF57">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0A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BB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06C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C2A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6A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FA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C5B7">
            <w:pPr>
              <w:jc w:val="center"/>
            </w:pPr>
          </w:p>
        </w:tc>
      </w:tr>
      <w:tr w14:paraId="25C43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FF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721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689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9950">
            <w:pPr>
              <w:jc w:val="center"/>
            </w:pPr>
            <w:r>
              <w:rPr>
                <w:rFonts w:ascii="宋体" w:hAnsi="宋体" w:eastAsia="宋体"/>
                <w:sz w:val="16"/>
              </w:rPr>
              <w:t>聘用人员年度考核合格率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767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C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7DC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D7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0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B2C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2C9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A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68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5198">
            <w:pPr>
              <w:jc w:val="center"/>
            </w:pPr>
          </w:p>
        </w:tc>
      </w:tr>
      <w:tr w14:paraId="05695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AD4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7F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40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44DD">
            <w:pPr>
              <w:jc w:val="center"/>
            </w:pPr>
            <w:r>
              <w:rPr>
                <w:rFonts w:ascii="宋体" w:hAnsi="宋体" w:eastAsia="宋体"/>
                <w:sz w:val="16"/>
              </w:rPr>
              <w:t>设备维护维修率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4BFA">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C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45FB">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0A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1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33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AE12">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3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2B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7148">
            <w:pPr>
              <w:jc w:val="center"/>
            </w:pPr>
          </w:p>
        </w:tc>
      </w:tr>
      <w:tr w14:paraId="7D228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6B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23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D54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FC0C">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A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B9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2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A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04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A99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0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A8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9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E631A">
            <w:pPr>
              <w:jc w:val="center"/>
            </w:pPr>
          </w:p>
        </w:tc>
      </w:tr>
      <w:tr w14:paraId="70CB9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495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755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FCF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C438">
            <w:pPr>
              <w:jc w:val="center"/>
            </w:pPr>
            <w:r>
              <w:rPr>
                <w:rFonts w:ascii="宋体" w:hAnsi="宋体" w:eastAsia="宋体"/>
                <w:sz w:val="16"/>
              </w:rPr>
              <w:t>稳定村村通运行维护人员队伍，提高我县村村通运行维护水平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AAD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C7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ADD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51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57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07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F86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E04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CE3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0DF0">
            <w:pPr>
              <w:jc w:val="center"/>
            </w:pPr>
          </w:p>
        </w:tc>
      </w:tr>
      <w:tr w14:paraId="64DB68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B1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7E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20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E307">
            <w:pPr>
              <w:jc w:val="center"/>
            </w:pPr>
            <w:r>
              <w:rPr>
                <w:rFonts w:ascii="宋体" w:hAnsi="宋体" w:eastAsia="宋体"/>
                <w:sz w:val="16"/>
              </w:rPr>
              <w:t>聘用人员满意度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74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362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76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A2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B8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D23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4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3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8A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BD69">
            <w:pPr>
              <w:jc w:val="center"/>
            </w:pPr>
          </w:p>
        </w:tc>
      </w:tr>
      <w:tr w14:paraId="42BD20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2D18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F56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B87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B6A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F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C04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E71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C0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DB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F1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7FBA8"/>
        </w:tc>
      </w:tr>
    </w:tbl>
    <w:p w14:paraId="4E23488E">
      <w:r>
        <w:br w:type="page"/>
      </w:r>
    </w:p>
    <w:tbl>
      <w:tblPr>
        <w:tblStyle w:val="9"/>
        <w:tblW w:w="0" w:type="auto"/>
        <w:tblInd w:w="0" w:type="dxa"/>
        <w:tblLayout w:type="autofit"/>
        <w:tblCellMar>
          <w:top w:w="0" w:type="dxa"/>
          <w:left w:w="108" w:type="dxa"/>
          <w:bottom w:w="0" w:type="dxa"/>
          <w:right w:w="108" w:type="dxa"/>
        </w:tblCellMar>
      </w:tblPr>
      <w:tblGrid>
        <w:gridCol w:w="613"/>
        <w:gridCol w:w="581"/>
        <w:gridCol w:w="581"/>
        <w:gridCol w:w="581"/>
        <w:gridCol w:w="856"/>
        <w:gridCol w:w="581"/>
        <w:gridCol w:w="856"/>
        <w:gridCol w:w="597"/>
        <w:gridCol w:w="581"/>
        <w:gridCol w:w="597"/>
        <w:gridCol w:w="696"/>
        <w:gridCol w:w="613"/>
        <w:gridCol w:w="697"/>
        <w:gridCol w:w="630"/>
      </w:tblGrid>
      <w:tr w14:paraId="6467B7F2">
        <w:tblPrEx>
          <w:tblCellMar>
            <w:top w:w="0" w:type="dxa"/>
            <w:left w:w="108" w:type="dxa"/>
            <w:bottom w:w="0" w:type="dxa"/>
            <w:right w:w="108" w:type="dxa"/>
          </w:tblCellMar>
        </w:tblPrEx>
        <w:tc>
          <w:tcPr>
            <w:tcW w:w="8848" w:type="dxa"/>
            <w:gridSpan w:val="14"/>
            <w:vAlign w:val="center"/>
          </w:tcPr>
          <w:p w14:paraId="0D97DAB1">
            <w:pPr>
              <w:jc w:val="center"/>
            </w:pPr>
            <w:r>
              <w:rPr>
                <w:rFonts w:ascii="宋体" w:hAnsi="宋体" w:eastAsia="宋体"/>
                <w:sz w:val="24"/>
              </w:rPr>
              <w:t>项目支出绩效自评表</w:t>
            </w:r>
          </w:p>
        </w:tc>
      </w:tr>
      <w:tr w14:paraId="1D2B937F">
        <w:tblPrEx>
          <w:tblCellMar>
            <w:top w:w="0" w:type="dxa"/>
            <w:left w:w="108" w:type="dxa"/>
            <w:bottom w:w="0" w:type="dxa"/>
            <w:right w:w="108" w:type="dxa"/>
          </w:tblCellMar>
        </w:tblPrEx>
        <w:tc>
          <w:tcPr>
            <w:tcW w:w="8848" w:type="dxa"/>
            <w:gridSpan w:val="14"/>
            <w:vAlign w:val="center"/>
          </w:tcPr>
          <w:p w14:paraId="086A7595">
            <w:pPr>
              <w:jc w:val="center"/>
            </w:pPr>
            <w:r>
              <w:rPr>
                <w:rFonts w:ascii="宋体" w:hAnsi="宋体" w:eastAsia="宋体"/>
                <w:sz w:val="24"/>
              </w:rPr>
              <w:t>(2024年度)</w:t>
            </w:r>
          </w:p>
        </w:tc>
      </w:tr>
      <w:tr w14:paraId="41211F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6F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7911CA">
            <w:pPr>
              <w:jc w:val="center"/>
            </w:pPr>
            <w:r>
              <w:rPr>
                <w:rFonts w:ascii="宋体" w:hAnsi="宋体" w:eastAsia="宋体"/>
                <w:sz w:val="16"/>
              </w:rPr>
              <w:t>2024年自治区广播电视节目无线覆盖运行维护经费</w:t>
            </w:r>
          </w:p>
        </w:tc>
      </w:tr>
      <w:tr w14:paraId="71EAA9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92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6FE5A">
            <w:pPr>
              <w:jc w:val="center"/>
            </w:pPr>
            <w:r>
              <w:rPr>
                <w:rFonts w:ascii="宋体" w:hAnsi="宋体" w:eastAsia="宋体"/>
                <w:sz w:val="16"/>
              </w:rPr>
              <w:t>且末县融媒体中心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03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43C78C">
            <w:pPr>
              <w:jc w:val="center"/>
            </w:pPr>
            <w:r>
              <w:rPr>
                <w:rFonts w:ascii="宋体" w:hAnsi="宋体" w:eastAsia="宋体"/>
                <w:sz w:val="16"/>
              </w:rPr>
              <w:t>且末县融媒体中心</w:t>
            </w:r>
          </w:p>
        </w:tc>
      </w:tr>
      <w:tr w14:paraId="005408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7B21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1B3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24D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769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5F1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8F9E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D6DB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B625">
            <w:pPr>
              <w:jc w:val="center"/>
            </w:pPr>
            <w:r>
              <w:rPr>
                <w:rFonts w:ascii="宋体" w:hAnsi="宋体" w:eastAsia="宋体"/>
                <w:sz w:val="16"/>
              </w:rPr>
              <w:t>得分</w:t>
            </w:r>
          </w:p>
        </w:tc>
      </w:tr>
      <w:tr w14:paraId="5B691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273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FCA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2812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2135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C68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3A1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34CD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EE617">
            <w:pPr>
              <w:jc w:val="center"/>
            </w:pPr>
            <w:r>
              <w:rPr>
                <w:rFonts w:ascii="宋体" w:hAnsi="宋体" w:eastAsia="宋体"/>
                <w:sz w:val="16"/>
              </w:rPr>
              <w:t>10.00</w:t>
            </w:r>
          </w:p>
        </w:tc>
      </w:tr>
      <w:tr w14:paraId="3E6CF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1ED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059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C739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6A27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FE9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434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5E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60A39">
            <w:pPr>
              <w:jc w:val="center"/>
            </w:pPr>
            <w:r>
              <w:rPr>
                <w:rFonts w:ascii="宋体" w:hAnsi="宋体" w:eastAsia="宋体"/>
                <w:sz w:val="16"/>
              </w:rPr>
              <w:t>-</w:t>
            </w:r>
          </w:p>
        </w:tc>
      </w:tr>
      <w:tr w14:paraId="5C585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25C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3CD4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C80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6ED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8D6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F07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847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A997">
            <w:pPr>
              <w:jc w:val="center"/>
            </w:pPr>
            <w:r>
              <w:rPr>
                <w:rFonts w:ascii="宋体" w:hAnsi="宋体" w:eastAsia="宋体"/>
                <w:sz w:val="16"/>
              </w:rPr>
              <w:t>-</w:t>
            </w:r>
          </w:p>
        </w:tc>
      </w:tr>
      <w:tr w14:paraId="174C8C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823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1F0FB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8E4CB3">
            <w:pPr>
              <w:jc w:val="center"/>
            </w:pPr>
            <w:r>
              <w:rPr>
                <w:rFonts w:ascii="宋体" w:hAnsi="宋体" w:eastAsia="宋体"/>
                <w:sz w:val="16"/>
              </w:rPr>
              <w:t>总体目标完成情况</w:t>
            </w:r>
          </w:p>
        </w:tc>
      </w:tr>
      <w:tr w14:paraId="3CC61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DEF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B6CDEC">
            <w:pPr>
              <w:jc w:val="both"/>
            </w:pPr>
            <w:r>
              <w:rPr>
                <w:rFonts w:ascii="宋体" w:hAnsi="宋体" w:eastAsia="宋体"/>
                <w:sz w:val="16"/>
              </w:rPr>
              <w:t>保障广播电视节目无限覆盖正常运行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FA901F">
            <w:pPr>
              <w:jc w:val="both"/>
            </w:pPr>
            <w:r>
              <w:rPr>
                <w:rFonts w:ascii="宋体" w:hAnsi="宋体" w:eastAsia="宋体"/>
                <w:sz w:val="16"/>
              </w:rPr>
              <w:t>实际完成目标：</w:t>
            </w:r>
            <w:r>
              <w:rPr>
                <w:rFonts w:ascii="宋体" w:hAnsi="宋体" w:eastAsia="宋体"/>
                <w:sz w:val="16"/>
              </w:rPr>
              <w:br w:type="textWrapping"/>
            </w:r>
            <w:r>
              <w:rPr>
                <w:rFonts w:ascii="宋体" w:hAnsi="宋体" w:eastAsia="宋体"/>
                <w:sz w:val="16"/>
              </w:rPr>
              <w:t>2024年自治区广播电视节目无线覆盖运行维护经费到位资金14万元，已支付15万元，主要用于支付电费，发射机房网络费，预警系统费。</w:t>
            </w:r>
          </w:p>
        </w:tc>
      </w:tr>
      <w:tr w14:paraId="43B939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183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1B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16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694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F16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910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A6B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0D1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B7D6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5C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F19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D2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B6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1742">
            <w:pPr>
              <w:jc w:val="center"/>
            </w:pPr>
            <w:r>
              <w:rPr>
                <w:rFonts w:ascii="宋体" w:hAnsi="宋体" w:eastAsia="宋体"/>
                <w:sz w:val="16"/>
              </w:rPr>
              <w:t>偏差原因分析及改进措施</w:t>
            </w:r>
          </w:p>
        </w:tc>
      </w:tr>
      <w:tr w14:paraId="38C306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7C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B3A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27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CEB4">
            <w:pPr>
              <w:jc w:val="center"/>
            </w:pPr>
            <w:r>
              <w:rPr>
                <w:rFonts w:ascii="宋体" w:hAnsi="宋体" w:eastAsia="宋体"/>
                <w:sz w:val="16"/>
              </w:rPr>
              <w:t>发射机数量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A3AB">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1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9796">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5EB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BF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16B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8DEE5">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EF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C54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7D8D">
            <w:pPr>
              <w:jc w:val="center"/>
            </w:pPr>
          </w:p>
        </w:tc>
      </w:tr>
      <w:tr w14:paraId="613ACB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7DF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CC5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50D6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349F5">
            <w:pPr>
              <w:jc w:val="center"/>
            </w:pPr>
            <w:r>
              <w:rPr>
                <w:rFonts w:ascii="宋体" w:hAnsi="宋体" w:eastAsia="宋体"/>
                <w:sz w:val="16"/>
              </w:rPr>
              <w:t>无线覆盖免费收听自治区广播节目数量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B885">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00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DB3B">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ED6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E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99F4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196B1">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3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5E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142DE">
            <w:pPr>
              <w:jc w:val="center"/>
            </w:pPr>
          </w:p>
        </w:tc>
      </w:tr>
      <w:tr w14:paraId="2C644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8B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6D8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D0F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4173">
            <w:pPr>
              <w:jc w:val="center"/>
            </w:pPr>
            <w:r>
              <w:rPr>
                <w:rFonts w:ascii="宋体" w:hAnsi="宋体" w:eastAsia="宋体"/>
                <w:sz w:val="16"/>
              </w:rPr>
              <w:t>发射机满功率播出率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7DF47">
            <w:pPr>
              <w:jc w:val="center"/>
            </w:pPr>
            <w:r>
              <w:rPr>
                <w:rFonts w:ascii="宋体" w:hAnsi="宋体" w:eastAsia="宋体"/>
                <w:sz w:val="16"/>
              </w:rPr>
              <w:t>&gt;=98.50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58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9E6B">
            <w:pPr>
              <w:jc w:val="center"/>
            </w:pPr>
            <w:r>
              <w:rPr>
                <w:rFonts w:ascii="宋体" w:hAnsi="宋体" w:eastAsia="宋体"/>
                <w:sz w:val="16"/>
              </w:rPr>
              <w:t>&gt;=98.50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AD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5F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3EC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9B8F">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F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D12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E728">
            <w:pPr>
              <w:jc w:val="center"/>
            </w:pPr>
          </w:p>
        </w:tc>
      </w:tr>
      <w:tr w14:paraId="11712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42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1D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923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244D">
            <w:pPr>
              <w:jc w:val="center"/>
            </w:pPr>
            <w:r>
              <w:rPr>
                <w:rFonts w:ascii="宋体" w:hAnsi="宋体" w:eastAsia="宋体"/>
                <w:sz w:val="16"/>
              </w:rPr>
              <w:t>发射机满调制播出率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EDB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1D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F3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2DC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240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837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FB5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2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01D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0F0F">
            <w:pPr>
              <w:jc w:val="center"/>
            </w:pPr>
          </w:p>
        </w:tc>
      </w:tr>
      <w:tr w14:paraId="4B698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CD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5F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AB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1A49">
            <w:pPr>
              <w:jc w:val="center"/>
            </w:pPr>
            <w:r>
              <w:rPr>
                <w:rFonts w:ascii="宋体" w:hAnsi="宋体" w:eastAsia="宋体"/>
                <w:sz w:val="16"/>
              </w:rPr>
              <w:t>发射机满时间播出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AD12">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A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053C">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1AA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7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C51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0580">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C1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CD3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7926">
            <w:pPr>
              <w:jc w:val="center"/>
            </w:pPr>
          </w:p>
        </w:tc>
      </w:tr>
      <w:tr w14:paraId="63C13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46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BE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E9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75A1">
            <w:pPr>
              <w:jc w:val="center"/>
            </w:pPr>
            <w:r>
              <w:rPr>
                <w:rFonts w:ascii="宋体" w:hAnsi="宋体" w:eastAsia="宋体"/>
                <w:sz w:val="16"/>
              </w:rPr>
              <w:t>发射机及附属设备设施完好率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A596">
            <w:pPr>
              <w:jc w:val="center"/>
            </w:pPr>
            <w:r>
              <w:rPr>
                <w:rFonts w:ascii="宋体" w:hAnsi="宋体" w:eastAsia="宋体"/>
                <w:sz w:val="16"/>
              </w:rPr>
              <w:t>&gt;=95.50%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6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295A">
            <w:pPr>
              <w:jc w:val="center"/>
            </w:pPr>
            <w:r>
              <w:rPr>
                <w:rFonts w:ascii="宋体" w:hAnsi="宋体" w:eastAsia="宋体"/>
                <w:sz w:val="16"/>
              </w:rPr>
              <w:t>&gt;=95.50%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FA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4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34D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6508">
            <w:pPr>
              <w:jc w:val="center"/>
            </w:pPr>
            <w:r>
              <w:rPr>
                <w:rFonts w:ascii="宋体" w:hAnsi="宋体" w:eastAsia="宋体"/>
                <w:sz w:val="16"/>
              </w:rPr>
              <w:t>=95.5%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9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D2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18EE">
            <w:pPr>
              <w:jc w:val="center"/>
            </w:pPr>
          </w:p>
        </w:tc>
      </w:tr>
      <w:tr w14:paraId="66819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81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5E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D1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33F0">
            <w:pPr>
              <w:jc w:val="center"/>
            </w:pPr>
            <w:r>
              <w:rPr>
                <w:rFonts w:ascii="宋体" w:hAnsi="宋体" w:eastAsia="宋体"/>
                <w:sz w:val="16"/>
              </w:rPr>
              <w:t>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6ED8">
            <w:pPr>
              <w:jc w:val="center"/>
            </w:pPr>
            <w:r>
              <w:rPr>
                <w:rFonts w:ascii="宋体" w:hAnsi="宋体" w:eastAsia="宋体"/>
                <w:sz w:val="16"/>
              </w:rPr>
              <w:t>&gt;=72小时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4FF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E331">
            <w:pPr>
              <w:jc w:val="center"/>
            </w:pPr>
            <w:r>
              <w:rPr>
                <w:rFonts w:ascii="宋体" w:hAnsi="宋体" w:eastAsia="宋体"/>
                <w:sz w:val="16"/>
              </w:rPr>
              <w:t>&gt;=72小时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E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38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7A2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775F">
            <w:pPr>
              <w:jc w:val="center"/>
            </w:pPr>
            <w:r>
              <w:rPr>
                <w:rFonts w:ascii="宋体" w:hAnsi="宋体" w:eastAsia="宋体"/>
                <w:sz w:val="16"/>
              </w:rPr>
              <w:t>=72小时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2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69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58FE">
            <w:pPr>
              <w:jc w:val="center"/>
            </w:pPr>
          </w:p>
        </w:tc>
      </w:tr>
      <w:tr w14:paraId="2459A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28F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D99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084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90CC">
            <w:pPr>
              <w:jc w:val="center"/>
            </w:pPr>
            <w:r>
              <w:rPr>
                <w:rFonts w:ascii="宋体" w:hAnsi="宋体" w:eastAsia="宋体"/>
                <w:sz w:val="16"/>
              </w:rPr>
              <w:t>设备维护费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14B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C60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BD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F3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F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6A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253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F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3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1509">
            <w:pPr>
              <w:jc w:val="center"/>
            </w:pPr>
          </w:p>
        </w:tc>
      </w:tr>
      <w:tr w14:paraId="67FF5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CA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EF8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4F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5A79">
            <w:pPr>
              <w:jc w:val="center"/>
            </w:pPr>
            <w:r>
              <w:rPr>
                <w:rFonts w:ascii="宋体" w:hAnsi="宋体" w:eastAsia="宋体"/>
                <w:sz w:val="16"/>
              </w:rPr>
              <w:t>使用电费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DF3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670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038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E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56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20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63AD">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6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9B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37B5">
            <w:pPr>
              <w:jc w:val="center"/>
            </w:pPr>
          </w:p>
        </w:tc>
      </w:tr>
      <w:tr w14:paraId="6AE75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174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AFE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A46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59C4">
            <w:pPr>
              <w:jc w:val="center"/>
            </w:pPr>
            <w:r>
              <w:rPr>
                <w:rFonts w:ascii="宋体" w:hAnsi="宋体" w:eastAsia="宋体"/>
                <w:sz w:val="16"/>
              </w:rPr>
              <w:t>年度维护成本增长率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2AB0">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D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65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2D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6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D6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A3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7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1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2B02">
            <w:pPr>
              <w:jc w:val="center"/>
            </w:pPr>
          </w:p>
        </w:tc>
      </w:tr>
      <w:tr w14:paraId="6127B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F4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EC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BA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16DE">
            <w:pPr>
              <w:jc w:val="center"/>
            </w:pPr>
            <w:r>
              <w:rPr>
                <w:rFonts w:ascii="宋体" w:hAnsi="宋体" w:eastAsia="宋体"/>
                <w:sz w:val="16"/>
              </w:rPr>
              <w:t>为农村地区广播电视基本公共服务提供无线传输保障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D729">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D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50B3">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9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E16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93E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0469A">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41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7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DAC5">
            <w:pPr>
              <w:jc w:val="center"/>
            </w:pPr>
          </w:p>
        </w:tc>
      </w:tr>
      <w:tr w14:paraId="19FDD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26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22F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79C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7AC3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F99F">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3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7A57">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A1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C85A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914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756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1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A4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9F28">
            <w:pPr>
              <w:jc w:val="center"/>
            </w:pPr>
          </w:p>
        </w:tc>
      </w:tr>
      <w:tr w14:paraId="2D4B23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3464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84C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D42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3F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14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C51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B1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B43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C52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E4B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F56BB0"/>
        </w:tc>
      </w:tr>
    </w:tbl>
    <w:p w14:paraId="2AF51D54">
      <w:r>
        <w:br w:type="page"/>
      </w:r>
    </w:p>
    <w:p w14:paraId="1CC99FA1">
      <w:pPr>
        <w:spacing w:line="640" w:lineRule="exact"/>
        <w:ind w:firstLine="640"/>
        <w:jc w:val="both"/>
        <w:outlineLvl w:val="2"/>
      </w:pPr>
      <w:r>
        <w:rPr>
          <w:rFonts w:ascii="黑体" w:hAnsi="黑体" w:eastAsia="黑体"/>
          <w:sz w:val="32"/>
        </w:rPr>
        <w:t>十二、其他需说明的事项</w:t>
      </w:r>
    </w:p>
    <w:p w14:paraId="3123366D">
      <w:pPr>
        <w:spacing w:line="580" w:lineRule="exact"/>
        <w:ind w:firstLine="640"/>
        <w:jc w:val="both"/>
      </w:pPr>
      <w:r>
        <w:rPr>
          <w:rFonts w:ascii="仿宋_GB2312" w:hAnsi="仿宋_GB2312" w:eastAsia="仿宋_GB2312"/>
          <w:b w:val="0"/>
          <w:sz w:val="32"/>
        </w:rPr>
        <w:t>本单位无其他需说明的事项。</w:t>
      </w:r>
    </w:p>
    <w:p w14:paraId="40E930A0">
      <w:r>
        <w:br w:type="page"/>
      </w:r>
    </w:p>
    <w:p w14:paraId="6DAE587D">
      <w:pPr>
        <w:spacing w:line="240" w:lineRule="auto"/>
        <w:jc w:val="center"/>
        <w:outlineLvl w:val="1"/>
      </w:pPr>
      <w:r>
        <w:rPr>
          <w:rFonts w:ascii="黑体" w:hAnsi="黑体" w:eastAsia="黑体"/>
          <w:sz w:val="32"/>
        </w:rPr>
        <w:t>第三部分 专业名词解释</w:t>
      </w:r>
    </w:p>
    <w:p w14:paraId="1552656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14D6D0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099EB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29BE2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7D0BD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4EC4A3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65FAF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B5A4A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59945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0EB1C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7EB0E7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75CD13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9CACB1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0A7177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8CE3ECD">
      <w:r>
        <w:br w:type="page"/>
      </w:r>
    </w:p>
    <w:p w14:paraId="3C23AEC7">
      <w:pPr>
        <w:spacing w:line="240" w:lineRule="auto"/>
        <w:jc w:val="center"/>
        <w:outlineLvl w:val="1"/>
      </w:pPr>
      <w:r>
        <w:rPr>
          <w:rFonts w:ascii="黑体" w:hAnsi="黑体" w:eastAsia="黑体"/>
          <w:sz w:val="32"/>
        </w:rPr>
        <w:t>第四部分 部门决算报表（见附表）</w:t>
      </w:r>
    </w:p>
    <w:p w14:paraId="6896FF38">
      <w:pPr>
        <w:spacing w:line="240" w:lineRule="auto"/>
        <w:ind w:firstLine="640"/>
        <w:jc w:val="both"/>
      </w:pPr>
      <w:r>
        <w:rPr>
          <w:rFonts w:ascii="仿宋_GB2312" w:hAnsi="仿宋_GB2312" w:eastAsia="仿宋_GB2312"/>
          <w:b w:val="0"/>
          <w:sz w:val="32"/>
        </w:rPr>
        <w:t>一、《收入支出决算总表》</w:t>
      </w:r>
    </w:p>
    <w:p w14:paraId="618BBFBF">
      <w:pPr>
        <w:spacing w:line="240" w:lineRule="auto"/>
        <w:ind w:firstLine="640"/>
        <w:jc w:val="both"/>
      </w:pPr>
      <w:r>
        <w:rPr>
          <w:rFonts w:ascii="仿宋_GB2312" w:hAnsi="仿宋_GB2312" w:eastAsia="仿宋_GB2312"/>
          <w:b w:val="0"/>
          <w:sz w:val="32"/>
        </w:rPr>
        <w:t>二、《收入决算表》</w:t>
      </w:r>
    </w:p>
    <w:p w14:paraId="70E3EC29">
      <w:pPr>
        <w:spacing w:line="240" w:lineRule="auto"/>
        <w:ind w:firstLine="640"/>
        <w:jc w:val="both"/>
      </w:pPr>
      <w:r>
        <w:rPr>
          <w:rFonts w:ascii="仿宋_GB2312" w:hAnsi="仿宋_GB2312" w:eastAsia="仿宋_GB2312"/>
          <w:b w:val="0"/>
          <w:sz w:val="32"/>
        </w:rPr>
        <w:t>三、《支出决算表》</w:t>
      </w:r>
    </w:p>
    <w:p w14:paraId="2717E0DC">
      <w:pPr>
        <w:spacing w:line="240" w:lineRule="auto"/>
        <w:ind w:firstLine="640"/>
        <w:jc w:val="both"/>
      </w:pPr>
      <w:r>
        <w:rPr>
          <w:rFonts w:ascii="仿宋_GB2312" w:hAnsi="仿宋_GB2312" w:eastAsia="仿宋_GB2312"/>
          <w:b w:val="0"/>
          <w:sz w:val="32"/>
        </w:rPr>
        <w:t>四、《财政拨款收入支出决算总表》</w:t>
      </w:r>
    </w:p>
    <w:p w14:paraId="70C6A4AF">
      <w:pPr>
        <w:spacing w:line="240" w:lineRule="auto"/>
        <w:ind w:firstLine="640"/>
        <w:jc w:val="both"/>
      </w:pPr>
      <w:r>
        <w:rPr>
          <w:rFonts w:ascii="仿宋_GB2312" w:hAnsi="仿宋_GB2312" w:eastAsia="仿宋_GB2312"/>
          <w:b w:val="0"/>
          <w:sz w:val="32"/>
        </w:rPr>
        <w:t>五、《一般公共预算财政拨款支出决算表》</w:t>
      </w:r>
    </w:p>
    <w:p w14:paraId="51DADA12">
      <w:pPr>
        <w:spacing w:line="240" w:lineRule="auto"/>
        <w:ind w:firstLine="640"/>
        <w:jc w:val="both"/>
      </w:pPr>
      <w:r>
        <w:rPr>
          <w:rFonts w:ascii="仿宋_GB2312" w:hAnsi="仿宋_GB2312" w:eastAsia="仿宋_GB2312"/>
          <w:b w:val="0"/>
          <w:sz w:val="32"/>
        </w:rPr>
        <w:t>六、《一般公共预算财政拨款基本支出决算表》</w:t>
      </w:r>
    </w:p>
    <w:p w14:paraId="1855F484">
      <w:pPr>
        <w:spacing w:line="240" w:lineRule="auto"/>
        <w:ind w:firstLine="640"/>
        <w:jc w:val="both"/>
      </w:pPr>
      <w:r>
        <w:rPr>
          <w:rFonts w:ascii="仿宋_GB2312" w:hAnsi="仿宋_GB2312" w:eastAsia="仿宋_GB2312"/>
          <w:b w:val="0"/>
          <w:sz w:val="32"/>
        </w:rPr>
        <w:t>七、《政府性基金预算财政拨款收入支出决算表》</w:t>
      </w:r>
    </w:p>
    <w:p w14:paraId="3E09F328">
      <w:pPr>
        <w:spacing w:line="240" w:lineRule="auto"/>
        <w:ind w:firstLine="640"/>
        <w:jc w:val="both"/>
      </w:pPr>
      <w:r>
        <w:rPr>
          <w:rFonts w:ascii="仿宋_GB2312" w:hAnsi="仿宋_GB2312" w:eastAsia="仿宋_GB2312"/>
          <w:b w:val="0"/>
          <w:sz w:val="32"/>
        </w:rPr>
        <w:t>八、《国有资本经营预算财政拨款收入支出决算表》</w:t>
      </w:r>
    </w:p>
    <w:p w14:paraId="03D23EC5">
      <w:pPr>
        <w:spacing w:line="240" w:lineRule="auto"/>
        <w:ind w:firstLine="640"/>
        <w:jc w:val="both"/>
      </w:pPr>
      <w:r>
        <w:rPr>
          <w:rFonts w:ascii="仿宋_GB2312" w:hAnsi="仿宋_GB2312" w:eastAsia="仿宋_GB2312"/>
          <w:b w:val="0"/>
          <w:sz w:val="32"/>
        </w:rPr>
        <w:t>九、《财政拨款“三公”经费支出决算表》</w:t>
      </w:r>
    </w:p>
    <w:p w14:paraId="1C4009CF">
      <w:pPr>
        <w:spacing w:line="240" w:lineRule="auto"/>
        <w:ind w:firstLine="640"/>
        <w:jc w:val="both"/>
      </w:pPr>
    </w:p>
    <w:p w14:paraId="746F457D">
      <w:pPr>
        <w:spacing w:line="240" w:lineRule="auto"/>
        <w:ind w:firstLine="640"/>
        <w:jc w:val="both"/>
      </w:pPr>
    </w:p>
    <w:p w14:paraId="5636FEF6">
      <w:pPr>
        <w:spacing w:line="240" w:lineRule="auto"/>
        <w:ind w:firstLine="640"/>
        <w:jc w:val="both"/>
      </w:pPr>
    </w:p>
    <w:p w14:paraId="2FA0CC08">
      <w:pPr>
        <w:spacing w:line="240" w:lineRule="auto"/>
        <w:ind w:firstLine="640"/>
        <w:jc w:val="both"/>
      </w:pPr>
    </w:p>
    <w:p w14:paraId="6963F0F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E17748-36D5-4B9D-8812-F2FF99EC6C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45B4629-4447-43AF-9C3E-08B2DF852905}"/>
  </w:font>
  <w:font w:name="仿宋_GB2312">
    <w:panose1 w:val="02010609030101010101"/>
    <w:charset w:val="86"/>
    <w:family w:val="modern"/>
    <w:pitch w:val="default"/>
    <w:sig w:usb0="00000001" w:usb1="080E0000" w:usb2="00000000" w:usb3="00000000" w:csb0="00040000" w:csb1="00000000"/>
    <w:embedRegular r:id="rId3" w:fontKey="{B53A325E-C816-46DC-B5D4-544FEA7DB0BE}"/>
  </w:font>
  <w:font w:name="楷体_GB2312">
    <w:panose1 w:val="02010609030101010101"/>
    <w:charset w:val="86"/>
    <w:family w:val="auto"/>
    <w:pitch w:val="default"/>
    <w:sig w:usb0="00000001" w:usb1="080E0000" w:usb2="00000000" w:usb3="00000000" w:csb0="00040000" w:csb1="00000000"/>
    <w:embedRegular r:id="rId4" w:fontKey="{8174F069-FB23-4EA3-B4CF-434B1EA45C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31954FA"/>
    <w:rsid w:val="543D17CB"/>
    <w:rsid w:val="55DA564E"/>
    <w:rsid w:val="56E07045"/>
    <w:rsid w:val="583059FA"/>
    <w:rsid w:val="587E6212"/>
    <w:rsid w:val="59CF2019"/>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6197</Words>
  <Characters>6929</Characters>
  <Lines>0</Lines>
  <Paragraphs>0</Paragraphs>
  <TotalTime>3</TotalTime>
  <ScaleCrop>false</ScaleCrop>
  <LinksUpToDate>false</LinksUpToDate>
  <CharactersWithSpaces>6937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