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C76A4">
      <w:pPr>
        <w:jc w:val="both"/>
        <w:rPr>
          <w:rFonts w:ascii="宋体" w:hAnsi="宋体" w:eastAsia="宋体" w:cs="Arial"/>
          <w:b/>
          <w:bCs/>
          <w:color w:val="auto"/>
          <w:sz w:val="48"/>
          <w:szCs w:val="48"/>
        </w:rPr>
      </w:pPr>
    </w:p>
    <w:p w14:paraId="3A4159C9">
      <w:pPr>
        <w:jc w:val="center"/>
        <w:rPr>
          <w:rFonts w:hint="eastAsia" w:ascii="宋体" w:hAnsi="宋体" w:eastAsia="宋体" w:cs="Arial"/>
          <w:b/>
          <w:bCs/>
          <w:color w:val="auto"/>
          <w:sz w:val="52"/>
          <w:szCs w:val="52"/>
        </w:rPr>
      </w:pPr>
      <w:r>
        <w:rPr>
          <w:rFonts w:hint="eastAsia" w:ascii="宋体" w:hAnsi="宋体" w:eastAsia="宋体" w:cs="Arial"/>
          <w:b/>
          <w:bCs/>
          <w:color w:val="auto"/>
          <w:sz w:val="52"/>
          <w:szCs w:val="52"/>
        </w:rPr>
        <w:t>202</w:t>
      </w:r>
      <w:r>
        <w:rPr>
          <w:rFonts w:hint="eastAsia" w:ascii="宋体" w:hAnsi="宋体" w:eastAsia="宋体" w:cs="Arial"/>
          <w:b/>
          <w:bCs/>
          <w:color w:val="auto"/>
          <w:sz w:val="52"/>
          <w:szCs w:val="52"/>
          <w:lang w:val="en-US" w:eastAsia="zh-CN"/>
        </w:rPr>
        <w:t>3</w:t>
      </w:r>
      <w:r>
        <w:rPr>
          <w:rFonts w:hint="eastAsia" w:ascii="宋体" w:hAnsi="宋体" w:eastAsia="宋体" w:cs="Arial"/>
          <w:b/>
          <w:bCs/>
          <w:color w:val="auto"/>
          <w:sz w:val="52"/>
          <w:szCs w:val="52"/>
        </w:rPr>
        <w:t>年大学生志愿服务西部计划中央财政补助专项提前下达资金</w:t>
      </w:r>
    </w:p>
    <w:p w14:paraId="1C42080C">
      <w:pPr>
        <w:jc w:val="center"/>
        <w:rPr>
          <w:rFonts w:ascii="宋体" w:hAnsi="宋体" w:eastAsia="宋体" w:cs="Arial"/>
          <w:b/>
          <w:bCs/>
          <w:color w:val="auto"/>
          <w:sz w:val="52"/>
          <w:szCs w:val="52"/>
        </w:rPr>
      </w:pPr>
      <w:r>
        <w:rPr>
          <w:rFonts w:hint="eastAsia" w:ascii="宋体" w:hAnsi="宋体" w:eastAsia="宋体" w:cs="Arial"/>
          <w:b/>
          <w:bCs/>
          <w:color w:val="auto"/>
          <w:sz w:val="52"/>
          <w:szCs w:val="52"/>
        </w:rPr>
        <w:t>项目支出绩效评价报告</w:t>
      </w:r>
    </w:p>
    <w:p w14:paraId="0725F779">
      <w:pPr>
        <w:jc w:val="center"/>
        <w:rPr>
          <w:rFonts w:ascii="宋体" w:hAnsi="宋体" w:eastAsia="宋体" w:cs="Arial"/>
          <w:b/>
          <w:bCs/>
          <w:color w:val="auto"/>
          <w:sz w:val="48"/>
          <w:szCs w:val="48"/>
        </w:rPr>
      </w:pPr>
    </w:p>
    <w:p w14:paraId="71F5D0A4">
      <w:pPr>
        <w:widowControl/>
        <w:spacing w:line="560" w:lineRule="exact"/>
        <w:jc w:val="center"/>
        <w:rPr>
          <w:rFonts w:ascii="仿宋_GB2312" w:hAnsi="仿宋_GB2312" w:cs="仿宋_GB2312"/>
          <w:b/>
          <w:color w:val="auto"/>
          <w:kern w:val="0"/>
          <w:sz w:val="50"/>
          <w:szCs w:val="50"/>
          <w:lang w:bidi="en-US"/>
        </w:rPr>
      </w:pPr>
      <w:r>
        <w:rPr>
          <w:rFonts w:hint="eastAsia" w:ascii="方正小标宋简体" w:hAnsi="方正小标宋简体" w:eastAsia="方正小标宋简体" w:cs="方正小标宋简体"/>
          <w:color w:val="auto"/>
          <w:kern w:val="0"/>
          <w:sz w:val="36"/>
          <w:szCs w:val="36"/>
        </w:rPr>
        <w:t>（</w:t>
      </w:r>
      <w:r>
        <w:rPr>
          <w:rFonts w:hint="default" w:ascii="方正小标宋简体" w:hAnsi="方正小标宋简体" w:eastAsia="方正小标宋简体" w:cs="方正小标宋简体"/>
          <w:color w:val="auto"/>
          <w:kern w:val="0"/>
          <w:sz w:val="36"/>
          <w:szCs w:val="36"/>
          <w:lang w:val="en-US" w:eastAsia="zh-CN"/>
        </w:rPr>
        <w:t>2023</w:t>
      </w:r>
      <w:r>
        <w:rPr>
          <w:rFonts w:hint="eastAsia" w:ascii="方正小标宋简体" w:hAnsi="方正小标宋简体" w:eastAsia="方正小标宋简体" w:cs="方正小标宋简体"/>
          <w:color w:val="auto"/>
          <w:kern w:val="0"/>
          <w:sz w:val="36"/>
          <w:szCs w:val="36"/>
        </w:rPr>
        <w:t>年度）</w:t>
      </w:r>
    </w:p>
    <w:p w14:paraId="62390BB0">
      <w:pPr>
        <w:spacing w:line="480" w:lineRule="auto"/>
        <w:jc w:val="center"/>
        <w:rPr>
          <w:rFonts w:ascii="仿宋_GB2312" w:hAnsi="仿宋_GB2312" w:cs="仿宋_GB2312"/>
          <w:b/>
          <w:color w:val="auto"/>
          <w:kern w:val="0"/>
          <w:sz w:val="50"/>
          <w:szCs w:val="50"/>
          <w:lang w:bidi="en-US"/>
        </w:rPr>
      </w:pPr>
    </w:p>
    <w:p w14:paraId="370A4CB9">
      <w:pPr>
        <w:spacing w:line="480" w:lineRule="auto"/>
        <w:jc w:val="center"/>
        <w:rPr>
          <w:rFonts w:ascii="仿宋_GB2312" w:hAnsi="仿宋_GB2312" w:cs="仿宋_GB2312"/>
          <w:b/>
          <w:color w:val="auto"/>
          <w:kern w:val="0"/>
          <w:sz w:val="50"/>
          <w:szCs w:val="50"/>
          <w:lang w:bidi="en-US"/>
        </w:rPr>
      </w:pPr>
    </w:p>
    <w:p w14:paraId="3C932B07">
      <w:pPr>
        <w:spacing w:line="480" w:lineRule="auto"/>
        <w:jc w:val="center"/>
        <w:rPr>
          <w:rFonts w:ascii="仿宋_GB2312" w:hAnsi="仿宋_GB2312" w:cs="仿宋_GB2312"/>
          <w:b/>
          <w:color w:val="auto"/>
          <w:kern w:val="0"/>
          <w:sz w:val="50"/>
          <w:szCs w:val="50"/>
          <w:lang w:bidi="en-US"/>
        </w:rPr>
      </w:pPr>
    </w:p>
    <w:p w14:paraId="7A7B4B7F">
      <w:pPr>
        <w:spacing w:line="480" w:lineRule="auto"/>
        <w:jc w:val="center"/>
        <w:rPr>
          <w:rFonts w:ascii="仿宋_GB2312" w:hAnsi="仿宋_GB2312" w:cs="仿宋_GB2312"/>
          <w:b/>
          <w:color w:val="auto"/>
          <w:kern w:val="0"/>
          <w:sz w:val="50"/>
          <w:szCs w:val="50"/>
          <w:lang w:bidi="en-US"/>
        </w:rPr>
      </w:pPr>
    </w:p>
    <w:p w14:paraId="6B0FA573">
      <w:pPr>
        <w:spacing w:line="480" w:lineRule="auto"/>
        <w:jc w:val="center"/>
        <w:rPr>
          <w:rFonts w:ascii="仿宋_GB2312" w:hAnsi="仿宋_GB2312" w:cs="仿宋_GB2312"/>
          <w:b/>
          <w:color w:val="auto"/>
          <w:kern w:val="0"/>
          <w:sz w:val="50"/>
          <w:szCs w:val="50"/>
          <w:lang w:bidi="en-US"/>
        </w:rPr>
      </w:pPr>
    </w:p>
    <w:p w14:paraId="20A9970C">
      <w:pPr>
        <w:spacing w:line="560" w:lineRule="exact"/>
        <w:ind w:firstLine="321" w:firstLineChars="100"/>
        <w:rPr>
          <w:rFonts w:hint="eastAsia" w:ascii="宋体" w:hAnsi="宋体" w:eastAsia="宋体" w:cs="仿宋_GB2312"/>
          <w:b/>
          <w:bCs/>
          <w:color w:val="auto"/>
          <w:kern w:val="0"/>
          <w:sz w:val="32"/>
          <w:szCs w:val="32"/>
        </w:rPr>
      </w:pPr>
      <w:r>
        <w:rPr>
          <w:rFonts w:hint="eastAsia" w:ascii="宋体" w:hAnsi="宋体" w:eastAsia="宋体" w:cs="仿宋_GB2312"/>
          <w:b/>
          <w:bCs/>
          <w:color w:val="auto"/>
          <w:kern w:val="0"/>
          <w:sz w:val="32"/>
          <w:szCs w:val="32"/>
        </w:rPr>
        <w:t>项目名称：202</w:t>
      </w:r>
      <w:r>
        <w:rPr>
          <w:rFonts w:hint="eastAsia" w:ascii="宋体" w:hAnsi="宋体" w:eastAsia="宋体" w:cs="仿宋_GB2312"/>
          <w:b/>
          <w:bCs/>
          <w:color w:val="auto"/>
          <w:kern w:val="0"/>
          <w:sz w:val="32"/>
          <w:szCs w:val="32"/>
          <w:lang w:val="en-US" w:eastAsia="zh-CN"/>
        </w:rPr>
        <w:t>3</w:t>
      </w:r>
      <w:r>
        <w:rPr>
          <w:rFonts w:hint="eastAsia" w:ascii="宋体" w:hAnsi="宋体" w:eastAsia="宋体" w:cs="仿宋_GB2312"/>
          <w:b/>
          <w:bCs/>
          <w:color w:val="auto"/>
          <w:kern w:val="0"/>
          <w:sz w:val="32"/>
          <w:szCs w:val="32"/>
        </w:rPr>
        <w:t>年大学生志愿服务西部计划中央财政补助专项提前下达资金</w:t>
      </w:r>
    </w:p>
    <w:p w14:paraId="7CEACE76">
      <w:pPr>
        <w:spacing w:line="560" w:lineRule="exact"/>
        <w:ind w:firstLine="321" w:firstLineChars="100"/>
        <w:rPr>
          <w:rFonts w:hint="default" w:ascii="宋体" w:hAnsi="宋体" w:eastAsia="宋体" w:cs="宋体"/>
          <w:color w:val="auto"/>
          <w:kern w:val="0"/>
          <w:sz w:val="32"/>
          <w:szCs w:val="32"/>
          <w:lang w:val="en-US" w:eastAsia="zh-CN"/>
        </w:rPr>
      </w:pPr>
      <w:r>
        <w:rPr>
          <w:rFonts w:hint="eastAsia" w:ascii="宋体" w:hAnsi="宋体" w:eastAsia="宋体" w:cs="仿宋_GB2312"/>
          <w:b/>
          <w:bCs/>
          <w:color w:val="auto"/>
          <w:kern w:val="0"/>
          <w:sz w:val="32"/>
          <w:szCs w:val="32"/>
        </w:rPr>
        <w:t>实施单位（公章）：</w:t>
      </w:r>
      <w:r>
        <w:rPr>
          <w:rFonts w:ascii="宋体" w:hAnsi="宋体" w:eastAsia="宋体" w:cs="宋体"/>
          <w:color w:val="auto"/>
          <w:kern w:val="0"/>
          <w:sz w:val="32"/>
          <w:szCs w:val="32"/>
        </w:rPr>
        <w:t xml:space="preserve"> </w:t>
      </w:r>
      <w:r>
        <w:rPr>
          <w:rFonts w:hint="eastAsia" w:ascii="宋体" w:hAnsi="宋体" w:eastAsia="宋体" w:cs="宋体"/>
          <w:color w:val="auto"/>
          <w:kern w:val="0"/>
          <w:sz w:val="32"/>
          <w:szCs w:val="32"/>
          <w:lang w:val="en-US" w:eastAsia="zh-CN"/>
        </w:rPr>
        <w:t>中国共产主义青年团且末县委员会</w:t>
      </w:r>
    </w:p>
    <w:p w14:paraId="46A0D430">
      <w:pPr>
        <w:spacing w:line="560" w:lineRule="exact"/>
        <w:ind w:firstLine="321" w:firstLineChars="100"/>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主管部门（公章）：</w:t>
      </w:r>
      <w:r>
        <w:rPr>
          <w:rFonts w:ascii="宋体" w:hAnsi="宋体" w:eastAsia="宋体" w:cs="宋体"/>
          <w:color w:val="auto"/>
          <w:kern w:val="0"/>
          <w:sz w:val="32"/>
          <w:szCs w:val="32"/>
        </w:rPr>
        <w:t xml:space="preserve"> </w:t>
      </w:r>
      <w:r>
        <w:rPr>
          <w:rFonts w:hint="eastAsia" w:ascii="宋体" w:hAnsi="宋体" w:eastAsia="宋体" w:cs="宋体"/>
          <w:color w:val="auto"/>
          <w:kern w:val="0"/>
          <w:sz w:val="32"/>
          <w:szCs w:val="32"/>
          <w:lang w:val="en-US" w:eastAsia="zh-CN"/>
        </w:rPr>
        <w:t>中国共产主义青年团且末县委员会</w:t>
      </w:r>
      <w:bookmarkStart w:id="18" w:name="_GoBack"/>
      <w:bookmarkEnd w:id="18"/>
    </w:p>
    <w:p w14:paraId="58B0D887">
      <w:pPr>
        <w:spacing w:line="560" w:lineRule="exact"/>
        <w:ind w:firstLine="321" w:firstLineChars="100"/>
        <w:rPr>
          <w:rFonts w:hint="eastAsia" w:ascii="宋体" w:hAnsi="宋体" w:eastAsia="宋体" w:cs="宋体"/>
          <w:color w:val="auto"/>
          <w:kern w:val="0"/>
          <w:sz w:val="32"/>
          <w:szCs w:val="32"/>
          <w:lang w:val="en-US" w:eastAsia="zh-CN"/>
        </w:rPr>
      </w:pPr>
      <w:r>
        <w:rPr>
          <w:rFonts w:hint="eastAsia" w:ascii="宋体" w:hAnsi="宋体" w:eastAsia="宋体" w:cs="仿宋_GB2312"/>
          <w:b/>
          <w:bCs/>
          <w:color w:val="auto"/>
          <w:kern w:val="0"/>
          <w:sz w:val="32"/>
          <w:szCs w:val="32"/>
        </w:rPr>
        <w:t>项目负责人（签章）：</w:t>
      </w:r>
      <w:r>
        <w:rPr>
          <w:rFonts w:ascii="宋体" w:hAnsi="宋体" w:eastAsia="宋体" w:cs="宋体"/>
          <w:color w:val="auto"/>
          <w:kern w:val="0"/>
          <w:sz w:val="32"/>
          <w:szCs w:val="32"/>
        </w:rPr>
        <w:t xml:space="preserve"> </w:t>
      </w:r>
      <w:r>
        <w:rPr>
          <w:rFonts w:hint="eastAsia" w:ascii="宋体" w:hAnsi="宋体" w:eastAsia="宋体" w:cs="宋体"/>
          <w:color w:val="auto"/>
          <w:kern w:val="0"/>
          <w:sz w:val="32"/>
          <w:szCs w:val="32"/>
          <w:lang w:val="en-US" w:eastAsia="zh-CN"/>
        </w:rPr>
        <w:t>徐涛</w:t>
      </w:r>
    </w:p>
    <w:p w14:paraId="5F6496D9">
      <w:pPr>
        <w:spacing w:line="560" w:lineRule="exact"/>
        <w:ind w:firstLine="321" w:firstLineChars="100"/>
        <w:rPr>
          <w:rFonts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lang w:val="en-US" w:eastAsia="zh-CN"/>
        </w:rPr>
        <w:t>2023</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12</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31</w:t>
      </w:r>
      <w:r>
        <w:rPr>
          <w:rFonts w:hint="eastAsia" w:ascii="宋体" w:hAnsi="宋体" w:eastAsia="宋体" w:cs="仿宋_GB2312"/>
          <w:color w:val="auto"/>
          <w:kern w:val="0"/>
          <w:sz w:val="32"/>
          <w:szCs w:val="32"/>
        </w:rPr>
        <w:t>日</w:t>
      </w:r>
    </w:p>
    <w:p w14:paraId="7C2FCF50">
      <w:pPr>
        <w:jc w:val="center"/>
        <w:rPr>
          <w:rFonts w:ascii="宋体" w:hAnsi="宋体" w:eastAsia="宋体" w:cs="Arial"/>
          <w:b/>
          <w:bCs/>
          <w:color w:val="auto"/>
          <w:sz w:val="36"/>
          <w:szCs w:val="36"/>
        </w:rPr>
      </w:pPr>
    </w:p>
    <w:p w14:paraId="75DF5E99">
      <w:pPr>
        <w:widowControl/>
        <w:jc w:val="left"/>
        <w:rPr>
          <w:rFonts w:ascii="宋体" w:hAnsi="宋体" w:eastAsia="宋体" w:cs="Arial"/>
          <w:b/>
          <w:bCs/>
          <w:color w:val="auto"/>
          <w:sz w:val="36"/>
          <w:szCs w:val="36"/>
        </w:rPr>
      </w:pPr>
      <w:r>
        <w:rPr>
          <w:rFonts w:ascii="宋体" w:hAnsi="宋体" w:eastAsia="宋体" w:cs="Arial"/>
          <w:b/>
          <w:bCs/>
          <w:color w:val="auto"/>
          <w:sz w:val="36"/>
          <w:szCs w:val="36"/>
        </w:rPr>
        <w:br w:type="page"/>
      </w:r>
    </w:p>
    <w:p w14:paraId="153F8C94">
      <w:pPr>
        <w:jc w:val="center"/>
        <w:rPr>
          <w:rFonts w:ascii="仿宋_GB2312"/>
          <w:color w:val="auto"/>
          <w:szCs w:val="30"/>
        </w:rPr>
      </w:pPr>
      <w:r>
        <w:rPr>
          <w:rFonts w:hint="eastAsia" w:ascii="宋体" w:hAnsi="宋体" w:eastAsia="宋体" w:cs="Arial"/>
          <w:b/>
          <w:bCs/>
          <w:color w:val="auto"/>
          <w:sz w:val="36"/>
          <w:szCs w:val="36"/>
        </w:rPr>
        <w:t>202</w:t>
      </w:r>
      <w:r>
        <w:rPr>
          <w:rFonts w:hint="eastAsia" w:ascii="宋体" w:hAnsi="宋体" w:eastAsia="宋体" w:cs="Arial"/>
          <w:b/>
          <w:bCs/>
          <w:color w:val="auto"/>
          <w:sz w:val="36"/>
          <w:szCs w:val="36"/>
          <w:lang w:val="en-US" w:eastAsia="zh-CN"/>
        </w:rPr>
        <w:t>3</w:t>
      </w:r>
      <w:r>
        <w:rPr>
          <w:rFonts w:hint="eastAsia" w:ascii="宋体" w:hAnsi="宋体" w:eastAsia="宋体" w:cs="Arial"/>
          <w:b/>
          <w:bCs/>
          <w:color w:val="auto"/>
          <w:sz w:val="36"/>
          <w:szCs w:val="36"/>
        </w:rPr>
        <w:t>年大学生志愿服务西部计划中央财政补助专项提前下达资金项目支出</w:t>
      </w:r>
      <w:r>
        <w:rPr>
          <w:rFonts w:ascii="宋体" w:hAnsi="宋体" w:eastAsia="宋体" w:cs="Arial"/>
          <w:b/>
          <w:bCs/>
          <w:color w:val="auto"/>
          <w:sz w:val="36"/>
          <w:szCs w:val="36"/>
        </w:rPr>
        <w:t>绩效</w:t>
      </w:r>
      <w:r>
        <w:rPr>
          <w:rFonts w:hint="eastAsia" w:ascii="宋体" w:hAnsi="宋体" w:eastAsia="宋体" w:cs="Arial"/>
          <w:b/>
          <w:bCs/>
          <w:color w:val="auto"/>
          <w:sz w:val="36"/>
          <w:szCs w:val="36"/>
        </w:rPr>
        <w:t>评价报告</w:t>
      </w:r>
    </w:p>
    <w:p w14:paraId="48F46EE3">
      <w:pPr>
        <w:pStyle w:val="3"/>
        <w:spacing w:line="360" w:lineRule="auto"/>
        <w:rPr>
          <w:rFonts w:ascii="宋体" w:hAnsi="宋体" w:eastAsia="宋体"/>
          <w:color w:val="auto"/>
          <w:sz w:val="32"/>
          <w:szCs w:val="32"/>
        </w:rPr>
      </w:pPr>
      <w:bookmarkStart w:id="0" w:name="_Toc68703827"/>
      <w:r>
        <w:rPr>
          <w:rFonts w:hint="eastAsia" w:ascii="宋体" w:hAnsi="宋体" w:eastAsia="宋体"/>
          <w:color w:val="auto"/>
          <w:sz w:val="32"/>
          <w:szCs w:val="32"/>
        </w:rPr>
        <w:t>一、基本情况</w:t>
      </w:r>
      <w:bookmarkEnd w:id="0"/>
    </w:p>
    <w:p w14:paraId="7EAB9BEA">
      <w:pPr>
        <w:pStyle w:val="4"/>
        <w:spacing w:line="360" w:lineRule="auto"/>
        <w:rPr>
          <w:rFonts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14:paraId="51BE6B29">
      <w:pPr>
        <w:spacing w:line="360" w:lineRule="auto"/>
        <w:ind w:firstLine="600" w:firstLineChars="200"/>
        <w:rPr>
          <w:rFonts w:hint="eastAsia" w:ascii="仿宋_GB2312"/>
          <w:color w:val="auto"/>
        </w:rPr>
      </w:pPr>
      <w:r>
        <w:rPr>
          <w:rFonts w:hint="eastAsia" w:ascii="仿宋_GB2312"/>
          <w:color w:val="auto"/>
        </w:rPr>
        <w:t>1、项目背景</w:t>
      </w:r>
    </w:p>
    <w:p w14:paraId="5A529CF5">
      <w:pPr>
        <w:spacing w:line="360" w:lineRule="auto"/>
        <w:ind w:firstLine="600" w:firstLineChars="200"/>
      </w:pPr>
      <w:r>
        <w:rPr>
          <w:rFonts w:hint="eastAsia" w:ascii="Times New Roman" w:hAnsi="Times New Roman" w:cs="Times New Roman"/>
          <w:color w:val="auto"/>
        </w:rPr>
        <w:t>根据国务院常务会议精神，从2003年开始，团中央、教育部、财政部、人力资源和社会保障部（原人事部）共同组织实施西部计划，按照公开招募、自愿报名、组织选拔、集中派遣的方式，每年从全国普通高校选派一定数量的应届毕业生到西部大开发省（区、市）基层从事1-3年的志愿服务，志愿服务期间享受生活补贴、社会保险和就业优惠政策等待遇，服务期满后鼓励在服务地就业或流动就业。2011年，大学生志愿服务西部计划全国项目办根据</w:t>
      </w:r>
      <w:r>
        <w:rPr>
          <w:rFonts w:hint="eastAsia" w:ascii="Times New Roman" w:hAnsi="Times New Roman" w:cs="Times New Roman"/>
          <w:color w:val="auto"/>
          <w:lang w:val="en-US" w:eastAsia="zh-CN"/>
        </w:rPr>
        <w:t>新疆</w:t>
      </w:r>
      <w:r>
        <w:rPr>
          <w:rFonts w:hint="eastAsia" w:ascii="Times New Roman" w:hAnsi="Times New Roman" w:cs="Times New Roman"/>
          <w:color w:val="auto"/>
        </w:rPr>
        <w:t>人才结构需要设立了大学生志愿服务西部计划</w:t>
      </w:r>
      <w:r>
        <w:rPr>
          <w:rFonts w:hint="eastAsia" w:ascii="Times New Roman" w:hAnsi="Times New Roman" w:cs="Times New Roman"/>
          <w:color w:val="auto"/>
          <w:lang w:val="en-US" w:eastAsia="zh-CN"/>
        </w:rPr>
        <w:t>新疆</w:t>
      </w:r>
      <w:r>
        <w:rPr>
          <w:rFonts w:hint="eastAsia" w:ascii="Times New Roman" w:hAnsi="Times New Roman" w:cs="Times New Roman"/>
          <w:color w:val="auto"/>
        </w:rPr>
        <w:t>专项（以下简称"西部计划"</w:t>
      </w:r>
      <w:r>
        <w:rPr>
          <w:rFonts w:hint="eastAsia" w:ascii="Times New Roman" w:hAnsi="Times New Roman" w:cs="Times New Roman"/>
          <w:color w:val="auto"/>
          <w:lang w:val="en-US" w:eastAsia="zh-CN"/>
        </w:rPr>
        <w:t>新疆</w:t>
      </w:r>
      <w:r>
        <w:rPr>
          <w:rFonts w:hint="eastAsia" w:ascii="Times New Roman" w:hAnsi="Times New Roman" w:cs="Times New Roman"/>
          <w:color w:val="auto"/>
        </w:rPr>
        <w:t>专项）。</w:t>
      </w:r>
      <w:r>
        <w:rPr>
          <w:rFonts w:hint="eastAsia" w:ascii="Times New Roman" w:hAnsi="Times New Roman" w:cs="Times New Roman"/>
          <w:color w:val="auto"/>
          <w:lang w:val="en-US" w:eastAsia="zh-CN"/>
        </w:rPr>
        <w:t>新疆维吾尔</w:t>
      </w:r>
      <w:r>
        <w:rPr>
          <w:rFonts w:hint="eastAsia" w:ascii="Times New Roman" w:hAnsi="Times New Roman" w:cs="Times New Roman"/>
          <w:color w:val="auto"/>
        </w:rPr>
        <w:t>自治区党委历来高度重视"西部计划"工作，在团中央大力支持下，自2014年起，"西部计划"</w:t>
      </w:r>
      <w:r>
        <w:rPr>
          <w:rFonts w:hint="eastAsia" w:ascii="Times New Roman" w:hAnsi="Times New Roman" w:cs="Times New Roman"/>
          <w:color w:val="auto"/>
          <w:lang w:val="en-US" w:eastAsia="zh-CN"/>
        </w:rPr>
        <w:t>新疆</w:t>
      </w:r>
      <w:r>
        <w:rPr>
          <w:rFonts w:hint="eastAsia" w:ascii="Times New Roman" w:hAnsi="Times New Roman" w:cs="Times New Roman"/>
          <w:color w:val="auto"/>
        </w:rPr>
        <w:t>专项年度实施规模扩大至2000人。广大"西部计划"</w:t>
      </w:r>
      <w:r>
        <w:rPr>
          <w:rFonts w:hint="eastAsia" w:ascii="Times New Roman" w:hAnsi="Times New Roman" w:cs="Times New Roman"/>
          <w:color w:val="auto"/>
          <w:lang w:val="en-US" w:eastAsia="zh-CN"/>
        </w:rPr>
        <w:t>新疆</w:t>
      </w:r>
      <w:r>
        <w:rPr>
          <w:rFonts w:hint="eastAsia" w:ascii="Times New Roman" w:hAnsi="Times New Roman" w:cs="Times New Roman"/>
          <w:color w:val="auto"/>
        </w:rPr>
        <w:t>专项志愿者在基础教育、农牧科技、医疗卫生、精准扶贫、社会治理、法律援助、文化建设等多个领域从事志愿服务，为</w:t>
      </w:r>
      <w:r>
        <w:rPr>
          <w:rFonts w:hint="eastAsia" w:ascii="Times New Roman" w:hAnsi="Times New Roman" w:cs="Times New Roman"/>
          <w:color w:val="auto"/>
          <w:lang w:val="en-US" w:eastAsia="zh-CN"/>
        </w:rPr>
        <w:t>新疆</w:t>
      </w:r>
      <w:r>
        <w:rPr>
          <w:rFonts w:hint="eastAsia" w:ascii="Times New Roman" w:hAnsi="Times New Roman" w:cs="Times New Roman"/>
          <w:color w:val="auto"/>
        </w:rPr>
        <w:t>改善人才结构、充实基层力量、促进民族交往交流交融、推进长足发展和长治久安增添了新的活力，"西部计划"</w:t>
      </w:r>
      <w:r>
        <w:rPr>
          <w:rFonts w:hint="eastAsia" w:ascii="Times New Roman" w:hAnsi="Times New Roman" w:cs="Times New Roman"/>
          <w:color w:val="auto"/>
          <w:lang w:val="en-US" w:eastAsia="zh-CN"/>
        </w:rPr>
        <w:t>新疆</w:t>
      </w:r>
      <w:r>
        <w:rPr>
          <w:rFonts w:hint="eastAsia" w:ascii="Times New Roman" w:hAnsi="Times New Roman" w:cs="Times New Roman"/>
          <w:color w:val="auto"/>
        </w:rPr>
        <w:t>专项已成为</w:t>
      </w:r>
      <w:r>
        <w:rPr>
          <w:rFonts w:hint="eastAsia" w:ascii="Times New Roman" w:hAnsi="Times New Roman" w:cs="Times New Roman"/>
          <w:color w:val="auto"/>
          <w:lang w:val="en-US" w:eastAsia="zh-CN"/>
        </w:rPr>
        <w:t>新疆</w:t>
      </w:r>
      <w:r>
        <w:rPr>
          <w:rFonts w:hint="eastAsia" w:ascii="Times New Roman" w:hAnsi="Times New Roman" w:cs="Times New Roman"/>
          <w:color w:val="auto"/>
        </w:rPr>
        <w:t>重要的人才工程、民族团结工程和治边稳</w:t>
      </w:r>
      <w:r>
        <w:rPr>
          <w:rFonts w:hint="eastAsia" w:ascii="Times New Roman" w:hAnsi="Times New Roman" w:cs="Times New Roman"/>
          <w:color w:val="auto"/>
          <w:lang w:val="en-US" w:eastAsia="zh-CN"/>
        </w:rPr>
        <w:t>疆</w:t>
      </w:r>
      <w:r>
        <w:rPr>
          <w:rFonts w:hint="eastAsia" w:ascii="Times New Roman" w:hAnsi="Times New Roman" w:cs="Times New Roman"/>
          <w:color w:val="auto"/>
        </w:rPr>
        <w:t>战略工程。</w:t>
      </w:r>
    </w:p>
    <w:p w14:paraId="62B442AC">
      <w:pPr>
        <w:spacing w:line="360" w:lineRule="auto"/>
        <w:ind w:firstLine="600" w:firstLineChars="200"/>
        <w:rPr>
          <w:rFonts w:ascii="仿宋_GB2312"/>
          <w:color w:val="auto"/>
        </w:rPr>
      </w:pPr>
      <w:r>
        <w:rPr>
          <w:rFonts w:hint="eastAsia" w:ascii="仿宋_GB2312"/>
          <w:color w:val="auto"/>
        </w:rPr>
        <w:t>2、主要内容</w:t>
      </w:r>
      <w:r>
        <w:rPr>
          <w:rFonts w:hint="eastAsia"/>
          <w:color w:val="auto"/>
        </w:rPr>
        <w:t>及</w:t>
      </w:r>
      <w:r>
        <w:rPr>
          <w:rFonts w:hint="eastAsia" w:ascii="仿宋_GB2312"/>
          <w:color w:val="auto"/>
        </w:rPr>
        <w:t>实施情况</w:t>
      </w:r>
    </w:p>
    <w:p w14:paraId="30EA493B">
      <w:pPr>
        <w:spacing w:line="360" w:lineRule="auto"/>
        <w:ind w:firstLine="600" w:firstLineChars="200"/>
        <w:rPr>
          <w:rFonts w:hint="eastAsia" w:ascii="仿宋_GB2312" w:eastAsia="仿宋_GB2312"/>
          <w:color w:val="auto"/>
          <w:lang w:eastAsia="zh-CN"/>
        </w:rPr>
      </w:pPr>
      <w:r>
        <w:rPr>
          <w:rFonts w:hint="eastAsia" w:ascii="仿宋_GB2312"/>
          <w:color w:val="auto"/>
        </w:rPr>
        <w:t>主要内容：</w:t>
      </w:r>
      <w:r>
        <w:rPr>
          <w:rFonts w:hint="eastAsia"/>
          <w:color w:val="auto"/>
        </w:rPr>
        <w:t>发放大学生志愿服务西部计划新疆专项志愿者工作生活补贴，办理志愿者基本养老保险及基本医疗保险，为志愿者更好的在疆开展志愿服务提供有力保障，大学生志愿服务西部计划服务领域不断拓展，管理服务进一步完善，社会各界广泛关注，有效服务大局、服务社会、服务青年，促进我县教育、卫生、文化、农技等社会事业发展，为新疆社会稳定和长治久安贡献青春力量</w:t>
      </w:r>
      <w:r>
        <w:rPr>
          <w:rFonts w:hint="eastAsia"/>
          <w:color w:val="auto"/>
          <w:lang w:eastAsia="zh-CN"/>
        </w:rPr>
        <w:t>。</w:t>
      </w:r>
    </w:p>
    <w:p w14:paraId="31E1D790">
      <w:pPr>
        <w:spacing w:line="360" w:lineRule="auto"/>
        <w:ind w:firstLine="600" w:firstLineChars="200"/>
        <w:rPr>
          <w:rFonts w:ascii="仿宋_GB2312"/>
          <w:color w:val="auto"/>
        </w:rPr>
      </w:pPr>
      <w:r>
        <w:rPr>
          <w:rFonts w:hint="eastAsia" w:ascii="仿宋_GB2312"/>
          <w:color w:val="auto"/>
        </w:rPr>
        <w:t>实施情况：</w:t>
      </w:r>
      <w:r>
        <w:rPr>
          <w:rFonts w:hint="default" w:ascii="Times New Roman" w:hAnsi="Times New Roman" w:eastAsia="方正仿宋_GBK" w:cs="Times New Roman"/>
          <w:bCs/>
          <w:color w:val="auto"/>
          <w:sz w:val="32"/>
          <w:szCs w:val="32"/>
          <w:lang w:eastAsia="zh-CN"/>
        </w:rPr>
        <w:t>按照项目内容已完成</w:t>
      </w:r>
      <w:r>
        <w:rPr>
          <w:rFonts w:hint="eastAsia" w:ascii="Times New Roman" w:hAnsi="Times New Roman" w:eastAsia="方正仿宋_GBK" w:cs="Times New Roman"/>
          <w:bCs/>
          <w:color w:val="auto"/>
          <w:sz w:val="32"/>
          <w:szCs w:val="32"/>
          <w:lang w:val="en-US" w:eastAsia="zh-CN"/>
        </w:rPr>
        <w:t>志愿者补贴发放</w:t>
      </w:r>
      <w:r>
        <w:rPr>
          <w:rFonts w:hint="default" w:ascii="Times New Roman" w:hAnsi="Times New Roman" w:eastAsia="方正仿宋_GBK" w:cs="Times New Roman"/>
          <w:bCs/>
          <w:color w:val="auto"/>
          <w:sz w:val="32"/>
          <w:szCs w:val="32"/>
          <w:lang w:eastAsia="zh-CN"/>
        </w:rPr>
        <w:t>任务</w:t>
      </w:r>
    </w:p>
    <w:p w14:paraId="5CD43C07">
      <w:pPr>
        <w:spacing w:line="360" w:lineRule="auto"/>
        <w:ind w:firstLine="600" w:firstLineChars="200"/>
        <w:rPr>
          <w:rFonts w:ascii="仿宋_GB2312"/>
          <w:color w:val="auto"/>
        </w:rPr>
      </w:pPr>
      <w:r>
        <w:rPr>
          <w:rFonts w:ascii="仿宋_GB2312"/>
          <w:color w:val="auto"/>
        </w:rPr>
        <w:t>4</w:t>
      </w:r>
      <w:r>
        <w:rPr>
          <w:rFonts w:hint="eastAsia" w:ascii="仿宋_GB2312"/>
          <w:color w:val="auto"/>
        </w:rPr>
        <w:t>、资金投入和使用情况</w:t>
      </w:r>
    </w:p>
    <w:p w14:paraId="058777B7">
      <w:pPr>
        <w:spacing w:line="360" w:lineRule="auto"/>
        <w:ind w:firstLine="600" w:firstLineChars="200"/>
        <w:rPr>
          <w:color w:val="auto"/>
        </w:rPr>
      </w:pPr>
      <w:r>
        <w:rPr>
          <w:rFonts w:hint="eastAsia"/>
          <w:color w:val="auto"/>
        </w:rPr>
        <w:t>资金投入情况：该项目年初预算数</w:t>
      </w:r>
      <w:r>
        <w:rPr>
          <w:rFonts w:hint="eastAsia"/>
          <w:color w:val="auto"/>
          <w:lang w:val="en-US" w:eastAsia="zh-CN"/>
        </w:rPr>
        <w:t>80.79</w:t>
      </w:r>
      <w:r>
        <w:rPr>
          <w:rFonts w:hint="eastAsia"/>
          <w:color w:val="auto"/>
        </w:rPr>
        <w:t>万元，全年预算数</w:t>
      </w:r>
      <w:r>
        <w:rPr>
          <w:rFonts w:hint="eastAsia"/>
          <w:color w:val="auto"/>
          <w:lang w:val="en-US" w:eastAsia="zh-CN"/>
        </w:rPr>
        <w:t>80.79</w:t>
      </w:r>
      <w:r>
        <w:rPr>
          <w:rFonts w:hint="eastAsia"/>
          <w:color w:val="auto"/>
        </w:rPr>
        <w:t xml:space="preserve"> </w:t>
      </w:r>
      <w:r>
        <w:rPr>
          <w:color w:val="auto"/>
        </w:rPr>
        <w:t xml:space="preserve">   </w:t>
      </w:r>
      <w:r>
        <w:rPr>
          <w:rFonts w:hint="eastAsia"/>
          <w:color w:val="auto"/>
        </w:rPr>
        <w:t>万元，实际总投入</w:t>
      </w:r>
      <w:r>
        <w:rPr>
          <w:rFonts w:hint="eastAsia"/>
          <w:color w:val="auto"/>
          <w:lang w:val="en-US" w:eastAsia="zh-CN"/>
        </w:rPr>
        <w:t>80.79</w:t>
      </w:r>
      <w:r>
        <w:rPr>
          <w:rFonts w:hint="eastAsia"/>
          <w:color w:val="auto"/>
        </w:rPr>
        <w:t>万元，该项目资金已全部落实到位，资金来源为</w:t>
      </w:r>
      <w:r>
        <w:rPr>
          <w:rFonts w:hint="eastAsia"/>
          <w:color w:val="auto"/>
          <w:lang w:val="en-US" w:eastAsia="zh-CN"/>
        </w:rPr>
        <w:t>中央财政拨款</w:t>
      </w:r>
      <w:r>
        <w:rPr>
          <w:rFonts w:hint="eastAsia"/>
          <w:color w:val="auto"/>
        </w:rPr>
        <w:t>。</w:t>
      </w:r>
    </w:p>
    <w:p w14:paraId="274C13D1">
      <w:pPr>
        <w:spacing w:line="360" w:lineRule="auto"/>
        <w:ind w:firstLine="600" w:firstLineChars="200"/>
        <w:rPr>
          <w:color w:val="auto"/>
        </w:rPr>
      </w:pPr>
      <w:r>
        <w:rPr>
          <w:rFonts w:hint="eastAsia"/>
          <w:color w:val="auto"/>
        </w:rPr>
        <w:t>资金使用情况：该项目年初预算数</w:t>
      </w:r>
      <w:r>
        <w:rPr>
          <w:rFonts w:hint="eastAsia"/>
          <w:color w:val="auto"/>
          <w:lang w:val="en-US" w:eastAsia="zh-CN"/>
        </w:rPr>
        <w:t>80.79</w:t>
      </w:r>
      <w:r>
        <w:rPr>
          <w:rFonts w:hint="eastAsia"/>
          <w:color w:val="auto"/>
        </w:rPr>
        <w:t xml:space="preserve">万元，全年预算数 </w:t>
      </w:r>
      <w:r>
        <w:rPr>
          <w:color w:val="auto"/>
        </w:rPr>
        <w:t xml:space="preserve">   </w:t>
      </w:r>
      <w:r>
        <w:rPr>
          <w:rFonts w:hint="eastAsia"/>
          <w:color w:val="auto"/>
        </w:rPr>
        <w:t>万元，全年执行数</w:t>
      </w:r>
      <w:r>
        <w:rPr>
          <w:rFonts w:hint="eastAsia"/>
          <w:color w:val="auto"/>
          <w:lang w:val="en-US" w:eastAsia="zh-CN"/>
        </w:rPr>
        <w:t>80.79</w:t>
      </w:r>
      <w:r>
        <w:rPr>
          <w:rFonts w:hint="eastAsia"/>
          <w:color w:val="auto"/>
        </w:rPr>
        <w:t>万元，预算执行率为</w:t>
      </w:r>
      <w:r>
        <w:rPr>
          <w:rFonts w:hint="eastAsia"/>
          <w:color w:val="auto"/>
          <w:lang w:val="en-US" w:eastAsia="zh-CN"/>
        </w:rPr>
        <w:t>100</w:t>
      </w:r>
      <w:r>
        <w:rPr>
          <w:rFonts w:hint="eastAsia"/>
          <w:color w:val="auto"/>
        </w:rPr>
        <w:t>%，用于：</w:t>
      </w:r>
      <w:r>
        <w:rPr>
          <w:rFonts w:hint="eastAsia"/>
          <w:color w:val="auto"/>
          <w:lang w:val="en-US" w:eastAsia="zh-CN"/>
        </w:rPr>
        <w:t>80.79</w:t>
      </w:r>
      <w:r>
        <w:rPr>
          <w:rFonts w:hint="eastAsia"/>
          <w:color w:val="auto"/>
        </w:rPr>
        <w:t>万元</w:t>
      </w:r>
      <w:r>
        <w:rPr>
          <w:rFonts w:hint="eastAsia"/>
          <w:color w:val="auto"/>
          <w:lang w:val="en-US" w:eastAsia="zh-CN"/>
        </w:rPr>
        <w:t>大学生西部计划志愿者发放生活补贴及医保社保</w:t>
      </w:r>
      <w:r>
        <w:rPr>
          <w:rFonts w:hint="eastAsia"/>
          <w:color w:val="auto"/>
        </w:rPr>
        <w:t>。</w:t>
      </w:r>
    </w:p>
    <w:p w14:paraId="35D41728">
      <w:pPr>
        <w:pStyle w:val="4"/>
        <w:spacing w:line="360" w:lineRule="auto"/>
        <w:ind w:firstLine="640" w:firstLineChars="200"/>
        <w:rPr>
          <w:rFonts w:ascii="仿宋_GB2312" w:eastAsia="仿宋_GB2312"/>
          <w:b w:val="0"/>
          <w:bCs w:val="0"/>
          <w:color w:val="auto"/>
        </w:rPr>
      </w:pPr>
      <w:bookmarkStart w:id="2" w:name="_Toc68703829"/>
      <w:r>
        <w:rPr>
          <w:rFonts w:hint="eastAsia" w:ascii="仿宋_GB2312" w:eastAsia="仿宋_GB2312"/>
          <w:b w:val="0"/>
          <w:bCs w:val="0"/>
          <w:color w:val="auto"/>
        </w:rPr>
        <w:t>（二）项目绩效目标。</w:t>
      </w:r>
      <w:bookmarkEnd w:id="2"/>
    </w:p>
    <w:p w14:paraId="0A604D91">
      <w:pPr>
        <w:numPr>
          <w:ilvl w:val="0"/>
          <w:numId w:val="1"/>
        </w:numPr>
        <w:spacing w:line="360" w:lineRule="auto"/>
        <w:ind w:firstLine="600" w:firstLineChars="200"/>
        <w:rPr>
          <w:rFonts w:hint="eastAsia"/>
          <w:color w:val="auto"/>
        </w:rPr>
      </w:pPr>
      <w:r>
        <w:rPr>
          <w:rFonts w:hint="eastAsia"/>
          <w:color w:val="auto"/>
        </w:rPr>
        <w:t>总体目标：发放大学生志愿服务西部计划新疆专项志愿者工作生活补贴，办理志愿者基本养老保险及基本医疗保险，为志愿者更好的在疆开展志愿服务提供有力保障，大学生志愿服务西部计划服务领域不断拓展，管理服务进一步完善，社会各界广泛关注，有效服务大局、服务社会、服务青年，促进我县教育、卫生、文化、农技等社会事业发展，为新疆社会稳定和长治久安贡献青春力量。</w:t>
      </w:r>
    </w:p>
    <w:p w14:paraId="678DAC84">
      <w:pPr>
        <w:numPr>
          <w:ilvl w:val="0"/>
          <w:numId w:val="0"/>
        </w:numPr>
        <w:spacing w:line="360" w:lineRule="auto"/>
        <w:ind w:firstLine="600" w:firstLineChars="200"/>
        <w:rPr>
          <w:rFonts w:hint="eastAsia" w:eastAsia="仿宋_GB2312"/>
          <w:color w:val="auto"/>
          <w:highlight w:val="none"/>
          <w:lang w:eastAsia="zh-CN"/>
        </w:rPr>
      </w:pPr>
      <w:r>
        <w:rPr>
          <w:color w:val="auto"/>
          <w:highlight w:val="none"/>
        </w:rPr>
        <w:t>2</w:t>
      </w:r>
      <w:r>
        <w:rPr>
          <w:rFonts w:hint="eastAsia"/>
          <w:color w:val="auto"/>
          <w:highlight w:val="none"/>
        </w:rPr>
        <w:t>、阶段性目标：</w:t>
      </w:r>
      <w:r>
        <w:rPr>
          <w:rFonts w:hint="eastAsia"/>
          <w:color w:val="auto"/>
          <w:highlight w:val="none"/>
          <w:lang w:val="en-US" w:eastAsia="zh-CN"/>
        </w:rPr>
        <w:t>无。</w:t>
      </w:r>
    </w:p>
    <w:p w14:paraId="1F0CE3F2">
      <w:pPr>
        <w:pStyle w:val="3"/>
        <w:spacing w:line="360" w:lineRule="auto"/>
        <w:rPr>
          <w:rFonts w:ascii="宋体" w:hAnsi="宋体" w:eastAsia="宋体"/>
          <w:color w:val="auto"/>
          <w:sz w:val="32"/>
          <w:szCs w:val="32"/>
        </w:rPr>
      </w:pPr>
      <w:bookmarkStart w:id="3" w:name="_Toc68703830"/>
      <w:r>
        <w:rPr>
          <w:rFonts w:hint="eastAsia" w:ascii="宋体" w:hAnsi="宋体" w:eastAsia="宋体"/>
          <w:color w:val="auto"/>
          <w:sz w:val="32"/>
          <w:szCs w:val="32"/>
        </w:rPr>
        <w:t>二、绩效评价工作开展情况</w:t>
      </w:r>
      <w:bookmarkEnd w:id="3"/>
    </w:p>
    <w:p w14:paraId="4DE37017">
      <w:pPr>
        <w:pStyle w:val="4"/>
        <w:spacing w:line="360" w:lineRule="auto"/>
        <w:rPr>
          <w:rFonts w:ascii="仿宋_GB2312" w:eastAsia="仿宋_GB2312"/>
          <w:b w:val="0"/>
          <w:bCs w:val="0"/>
          <w:color w:val="auto"/>
        </w:rPr>
      </w:pPr>
      <w:bookmarkStart w:id="4" w:name="_Toc68703831"/>
      <w:r>
        <w:rPr>
          <w:rFonts w:hint="eastAsia" w:ascii="仿宋_GB2312" w:eastAsia="仿宋_GB2312"/>
          <w:b w:val="0"/>
          <w:bCs w:val="0"/>
          <w:color w:val="auto"/>
        </w:rPr>
        <w:t>（一）绩效评价目的、对象和范围。</w:t>
      </w:r>
      <w:bookmarkEnd w:id="4"/>
    </w:p>
    <w:p w14:paraId="39BD0FDE">
      <w:pPr>
        <w:spacing w:line="360" w:lineRule="auto"/>
        <w:rPr>
          <w:color w:val="auto"/>
        </w:rPr>
      </w:pPr>
      <w:r>
        <w:rPr>
          <w:rFonts w:hint="eastAsia"/>
          <w:color w:val="auto"/>
        </w:rPr>
        <w:t>1、绩效评价目的：</w:t>
      </w:r>
    </w:p>
    <w:p w14:paraId="55D469C7">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2023年大学生志愿服务西部计划中央财政补助专项提前下达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2494B277">
      <w:pPr>
        <w:spacing w:line="360" w:lineRule="auto"/>
        <w:ind w:firstLine="600" w:firstLineChars="200"/>
        <w:jc w:val="left"/>
        <w:rPr>
          <w:color w:val="auto"/>
        </w:rPr>
      </w:pPr>
      <w:r>
        <w:rPr>
          <w:rFonts w:hint="eastAsia"/>
          <w:color w:val="auto"/>
        </w:rPr>
        <w:t>2、绩效评价对象：</w:t>
      </w:r>
    </w:p>
    <w:p w14:paraId="3AA5E564">
      <w:pPr>
        <w:spacing w:line="360" w:lineRule="auto"/>
        <w:ind w:firstLine="600" w:firstLineChars="200"/>
        <w:rPr>
          <w:rFonts w:hint="eastAsia"/>
          <w:color w:val="auto"/>
        </w:rPr>
      </w:pPr>
      <w:r>
        <w:rPr>
          <w:rFonts w:hint="eastAsia"/>
          <w:color w:val="auto"/>
        </w:rPr>
        <w:t>2023年大学生志愿服务西部计划中央财政补助专项提前下达资金</w:t>
      </w:r>
    </w:p>
    <w:p w14:paraId="496034F2">
      <w:pPr>
        <w:spacing w:line="360" w:lineRule="auto"/>
        <w:ind w:firstLine="600" w:firstLineChars="200"/>
        <w:rPr>
          <w:color w:val="auto"/>
        </w:rPr>
      </w:pPr>
      <w:r>
        <w:rPr>
          <w:rFonts w:hint="eastAsia"/>
          <w:color w:val="auto"/>
        </w:rPr>
        <w:t>3、绩效评价范围：</w:t>
      </w:r>
    </w:p>
    <w:p w14:paraId="3BFFC30B">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2023年大学生志愿服务西部计划中央财政补助专项提前下达资金评价，评价核心为专项资金的支出完成情况和效果。</w:t>
      </w:r>
    </w:p>
    <w:p w14:paraId="13873081">
      <w:pPr>
        <w:pStyle w:val="4"/>
        <w:spacing w:line="360" w:lineRule="auto"/>
        <w:ind w:firstLine="320" w:firstLineChars="100"/>
        <w:rPr>
          <w:rFonts w:ascii="仿宋_GB2312" w:eastAsia="仿宋_GB2312"/>
          <w:b w:val="0"/>
          <w:bCs w:val="0"/>
          <w:color w:val="auto"/>
        </w:rPr>
      </w:pPr>
      <w:bookmarkStart w:id="5" w:name="_Toc68703832"/>
      <w:r>
        <w:rPr>
          <w:rFonts w:hint="eastAsia" w:ascii="仿宋_GB2312" w:eastAsia="仿宋_GB2312"/>
          <w:b w:val="0"/>
          <w:bCs w:val="0"/>
          <w:color w:val="auto"/>
        </w:rPr>
        <w:t>（二）绩效评价原则、评价指标体系、评价方法、评价标准等。</w:t>
      </w:r>
      <w:bookmarkEnd w:id="5"/>
    </w:p>
    <w:p w14:paraId="77BD94A7">
      <w:pPr>
        <w:spacing w:line="360" w:lineRule="auto"/>
        <w:rPr>
          <w:color w:val="auto"/>
        </w:rPr>
      </w:pPr>
      <w:r>
        <w:rPr>
          <w:rFonts w:hint="eastAsia"/>
          <w:color w:val="auto"/>
        </w:rPr>
        <w:t>1、绩效评价原则</w:t>
      </w:r>
    </w:p>
    <w:p w14:paraId="0EB9B763">
      <w:pPr>
        <w:spacing w:line="600" w:lineRule="exact"/>
        <w:ind w:firstLine="640"/>
        <w:rPr>
          <w:rFonts w:ascii="仿宋_GB2312"/>
          <w:bCs/>
          <w:color w:val="auto"/>
          <w:sz w:val="32"/>
          <w:szCs w:val="32"/>
        </w:rPr>
      </w:pPr>
      <w:r>
        <w:rPr>
          <w:rFonts w:hint="eastAsia" w:ascii="仿宋_GB2312"/>
          <w:bCs/>
          <w:color w:val="auto"/>
          <w:sz w:val="32"/>
          <w:szCs w:val="32"/>
        </w:rPr>
        <w:t>（一）科学公正。绩效评价应当运用科学合理的方法，按照规范的程序，对项目绩效进行客观、公正的反映。</w:t>
      </w:r>
    </w:p>
    <w:p w14:paraId="3A8CF260">
      <w:pPr>
        <w:spacing w:line="600" w:lineRule="exact"/>
        <w:ind w:firstLine="640"/>
        <w:rPr>
          <w:rFonts w:ascii="仿宋_GB2312"/>
          <w:bCs/>
          <w:color w:val="auto"/>
          <w:sz w:val="32"/>
          <w:szCs w:val="32"/>
        </w:rPr>
      </w:pPr>
      <w:r>
        <w:rPr>
          <w:rFonts w:hint="eastAsia" w:ascii="仿宋_GB2312"/>
          <w:bCs/>
          <w:color w:val="auto"/>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4AC50B15">
      <w:pPr>
        <w:spacing w:line="600" w:lineRule="exact"/>
        <w:ind w:firstLine="640"/>
        <w:rPr>
          <w:rFonts w:ascii="仿宋_GB2312"/>
          <w:bCs/>
          <w:color w:val="auto"/>
          <w:sz w:val="32"/>
          <w:szCs w:val="32"/>
        </w:rPr>
      </w:pPr>
      <w:r>
        <w:rPr>
          <w:rFonts w:hint="eastAsia" w:ascii="仿宋_GB2312"/>
          <w:bCs/>
          <w:color w:val="auto"/>
          <w:sz w:val="32"/>
          <w:szCs w:val="32"/>
        </w:rPr>
        <w:t>（三）激励约束。绩效评价结果应与预算安排、政策调整、改进管理实质性挂钩，体现奖优罚劣和激励相容导向，有效要安排、低效要压减、无效要问责。</w:t>
      </w:r>
    </w:p>
    <w:p w14:paraId="158B7FF1">
      <w:pPr>
        <w:spacing w:line="600" w:lineRule="exact"/>
        <w:ind w:firstLine="640"/>
        <w:rPr>
          <w:color w:val="auto"/>
        </w:rPr>
      </w:pPr>
      <w:r>
        <w:rPr>
          <w:rFonts w:hint="eastAsia" w:ascii="仿宋_GB2312"/>
          <w:bCs/>
          <w:color w:val="auto"/>
          <w:sz w:val="32"/>
          <w:szCs w:val="32"/>
        </w:rPr>
        <w:t>（四）公开透明。绩效评价结果应依法依规公开，并自觉接受社会监督。</w:t>
      </w:r>
    </w:p>
    <w:p w14:paraId="3D91E188">
      <w:pPr>
        <w:spacing w:line="360" w:lineRule="auto"/>
        <w:rPr>
          <w:color w:val="auto"/>
        </w:rPr>
      </w:pPr>
    </w:p>
    <w:p w14:paraId="5F2BE58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1284E16E">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58DF23EF">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4836D5E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A8B0517">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61033244">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53DB1C7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7D2CB0F0">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41C1A938">
      <w:pPr>
        <w:pStyle w:val="8"/>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C09CE37">
      <w:pPr>
        <w:pStyle w:val="4"/>
        <w:spacing w:before="0" w:after="0" w:line="240" w:lineRule="auto"/>
        <w:jc w:val="center"/>
        <w:rPr>
          <w:rFonts w:hint="eastAsia" w:ascii="Times New Roman" w:hAnsi="Times New Roman" w:eastAsia="仿宋_GB2312" w:cs="Times New Roman"/>
          <w:b w:val="0"/>
          <w:bCs w:val="0"/>
          <w:color w:val="auto"/>
          <w:sz w:val="30"/>
          <w:szCs w:val="24"/>
        </w:rPr>
      </w:pPr>
      <w:r>
        <w:rPr>
          <w:rFonts w:hint="eastAsia" w:ascii="Times New Roman" w:hAnsi="Times New Roman" w:eastAsia="仿宋_GB2312" w:cs="Times New Roman"/>
          <w:b w:val="0"/>
          <w:bCs w:val="0"/>
          <w:color w:val="auto"/>
          <w:sz w:val="30"/>
          <w:szCs w:val="24"/>
          <w:lang w:val="en-US" w:eastAsia="zh-CN"/>
        </w:rPr>
        <w:t>2023</w:t>
      </w:r>
      <w:r>
        <w:rPr>
          <w:rFonts w:hint="eastAsia" w:ascii="Times New Roman" w:hAnsi="Times New Roman" w:eastAsia="仿宋_GB2312" w:cs="Times New Roman"/>
          <w:b w:val="0"/>
          <w:bCs w:val="0"/>
          <w:color w:val="auto"/>
          <w:sz w:val="30"/>
          <w:szCs w:val="24"/>
        </w:rPr>
        <w:t>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6195F9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375E7A1E">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14:paraId="038DF2D2">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14:paraId="7EA2985A">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14:paraId="44BF3499">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14:paraId="4A5C9560">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14:paraId="0ADE298D">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14:paraId="15F748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3216E3A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14:paraId="1198549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14:paraId="0AC71C8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05AE71E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14:paraId="13F19B6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14:paraId="3738E828">
            <w:pPr>
              <w:spacing w:line="600" w:lineRule="auto"/>
              <w:jc w:val="center"/>
              <w:rPr>
                <w:rFonts w:hint="eastAsia" w:eastAsia="仿宋_GB2312"/>
                <w:sz w:val="22"/>
                <w:szCs w:val="22"/>
                <w:lang w:val="en-US" w:eastAsia="zh-CN"/>
              </w:rPr>
            </w:pPr>
            <w:r>
              <w:rPr>
                <w:rFonts w:hint="eastAsia"/>
                <w:sz w:val="22"/>
                <w:szCs w:val="22"/>
                <w:lang w:val="en-US" w:eastAsia="zh-CN"/>
              </w:rPr>
              <w:t>3</w:t>
            </w:r>
          </w:p>
        </w:tc>
        <w:tc>
          <w:tcPr>
            <w:tcW w:w="874" w:type="dxa"/>
            <w:tcBorders>
              <w:bottom w:val="single" w:color="auto" w:sz="4" w:space="0"/>
            </w:tcBorders>
            <w:shd w:val="clear" w:color="auto" w:fill="FFFFFF"/>
            <w:vAlign w:val="top"/>
          </w:tcPr>
          <w:p w14:paraId="0C5A5231">
            <w:pPr>
              <w:spacing w:line="600" w:lineRule="auto"/>
              <w:jc w:val="center"/>
              <w:rPr>
                <w:rFonts w:hint="eastAsia" w:eastAsia="仿宋_GB2312"/>
                <w:lang w:val="en-US" w:eastAsia="zh-CN"/>
              </w:rPr>
            </w:pPr>
            <w:r>
              <w:rPr>
                <w:rFonts w:hint="eastAsia"/>
                <w:sz w:val="22"/>
                <w:szCs w:val="22"/>
                <w:lang w:val="en-US" w:eastAsia="zh-CN"/>
              </w:rPr>
              <w:t>3</w:t>
            </w:r>
          </w:p>
        </w:tc>
      </w:tr>
      <w:tr w14:paraId="33759D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1AAF699B">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235E636B">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203DC8F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01DC13B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14:paraId="217DDAF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14:paraId="164D42C3">
            <w:pPr>
              <w:spacing w:line="600" w:lineRule="auto"/>
              <w:jc w:val="center"/>
              <w:rPr>
                <w:rFonts w:hint="eastAsia" w:eastAsia="仿宋_GB2312"/>
                <w:sz w:val="22"/>
                <w:szCs w:val="22"/>
                <w:lang w:val="en-US" w:eastAsia="zh-CN"/>
              </w:rPr>
            </w:pPr>
            <w:r>
              <w:rPr>
                <w:rFonts w:hint="eastAsia"/>
                <w:sz w:val="22"/>
                <w:szCs w:val="22"/>
                <w:lang w:val="en-US" w:eastAsia="zh-CN"/>
              </w:rPr>
              <w:t>3</w:t>
            </w:r>
          </w:p>
        </w:tc>
        <w:tc>
          <w:tcPr>
            <w:tcW w:w="874" w:type="dxa"/>
            <w:shd w:val="clear" w:color="auto" w:fill="FFFFFF"/>
            <w:vAlign w:val="top"/>
          </w:tcPr>
          <w:p w14:paraId="43ED5F8C">
            <w:pPr>
              <w:spacing w:line="600" w:lineRule="auto"/>
              <w:jc w:val="center"/>
              <w:rPr>
                <w:rFonts w:hint="eastAsia" w:eastAsia="仿宋_GB2312"/>
                <w:lang w:val="en-US" w:eastAsia="zh-CN"/>
              </w:rPr>
            </w:pPr>
            <w:r>
              <w:rPr>
                <w:rFonts w:hint="eastAsia"/>
                <w:sz w:val="22"/>
                <w:szCs w:val="22"/>
                <w:lang w:val="en-US" w:eastAsia="zh-CN"/>
              </w:rPr>
              <w:t>3</w:t>
            </w:r>
          </w:p>
        </w:tc>
      </w:tr>
      <w:tr w14:paraId="5891EE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686224F0">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59F4239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14:paraId="5427D9F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24135EC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14:paraId="2D794BF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14:paraId="7EEE0707">
            <w:pPr>
              <w:spacing w:line="600" w:lineRule="auto"/>
              <w:jc w:val="center"/>
              <w:rPr>
                <w:rFonts w:hint="eastAsia" w:eastAsia="仿宋_GB2312"/>
                <w:sz w:val="22"/>
                <w:szCs w:val="22"/>
                <w:lang w:val="en-US" w:eastAsia="zh-CN"/>
              </w:rPr>
            </w:pPr>
            <w:r>
              <w:rPr>
                <w:rFonts w:hint="eastAsia"/>
                <w:sz w:val="22"/>
                <w:szCs w:val="22"/>
                <w:lang w:val="en-US" w:eastAsia="zh-CN"/>
              </w:rPr>
              <w:t>3</w:t>
            </w:r>
          </w:p>
        </w:tc>
        <w:tc>
          <w:tcPr>
            <w:tcW w:w="874" w:type="dxa"/>
            <w:shd w:val="clear" w:color="000000" w:fill="FFFFFF"/>
            <w:vAlign w:val="top"/>
          </w:tcPr>
          <w:p w14:paraId="6E399587">
            <w:pPr>
              <w:spacing w:line="600" w:lineRule="auto"/>
              <w:jc w:val="center"/>
            </w:pPr>
            <w:r>
              <w:rPr>
                <w:rFonts w:hint="eastAsia"/>
                <w:sz w:val="22"/>
                <w:szCs w:val="22"/>
                <w:lang w:val="en-US" w:eastAsia="zh-CN"/>
              </w:rPr>
              <w:t>3</w:t>
            </w:r>
          </w:p>
        </w:tc>
      </w:tr>
      <w:tr w14:paraId="07B73F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34912D6E">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03980CB0">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5EDF992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320B331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14:paraId="7E333B9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14:paraId="76FDBB69">
            <w:pPr>
              <w:spacing w:line="600" w:lineRule="auto"/>
              <w:jc w:val="center"/>
              <w:rPr>
                <w:rFonts w:hint="eastAsia" w:eastAsia="仿宋_GB2312"/>
                <w:sz w:val="22"/>
                <w:szCs w:val="22"/>
                <w:lang w:val="en-US" w:eastAsia="zh-CN"/>
              </w:rPr>
            </w:pPr>
            <w:r>
              <w:rPr>
                <w:rFonts w:hint="eastAsia"/>
                <w:sz w:val="22"/>
                <w:szCs w:val="22"/>
                <w:lang w:val="en-US" w:eastAsia="zh-CN"/>
              </w:rPr>
              <w:t>3</w:t>
            </w:r>
          </w:p>
        </w:tc>
        <w:tc>
          <w:tcPr>
            <w:tcW w:w="874" w:type="dxa"/>
            <w:tcBorders>
              <w:bottom w:val="single" w:color="auto" w:sz="4" w:space="0"/>
            </w:tcBorders>
            <w:shd w:val="clear" w:color="000000" w:fill="FFFFFF"/>
            <w:vAlign w:val="top"/>
          </w:tcPr>
          <w:p w14:paraId="53406E13">
            <w:pPr>
              <w:spacing w:line="600" w:lineRule="auto"/>
              <w:jc w:val="center"/>
            </w:pPr>
            <w:r>
              <w:rPr>
                <w:rFonts w:hint="eastAsia"/>
                <w:sz w:val="22"/>
                <w:szCs w:val="22"/>
                <w:lang w:val="en-US" w:eastAsia="zh-CN"/>
              </w:rPr>
              <w:t>3</w:t>
            </w:r>
          </w:p>
        </w:tc>
      </w:tr>
      <w:tr w14:paraId="32AA5A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09BF5EBC">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3753E55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14:paraId="7BDB045A">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60E7EB6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58D407E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14:paraId="2E676EF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14:paraId="6E0A50C0">
            <w:pPr>
              <w:spacing w:line="600" w:lineRule="auto"/>
              <w:jc w:val="center"/>
              <w:rPr>
                <w:rFonts w:hint="default" w:eastAsia="仿宋_GB2312"/>
                <w:sz w:val="22"/>
                <w:szCs w:val="22"/>
                <w:lang w:val="en-US" w:eastAsia="zh-CN"/>
              </w:rPr>
            </w:pPr>
            <w:r>
              <w:rPr>
                <w:rFonts w:hint="eastAsia"/>
                <w:sz w:val="22"/>
                <w:szCs w:val="22"/>
                <w:lang w:val="en-US" w:eastAsia="zh-CN"/>
              </w:rPr>
              <w:t>3</w:t>
            </w:r>
          </w:p>
        </w:tc>
        <w:tc>
          <w:tcPr>
            <w:tcW w:w="874" w:type="dxa"/>
            <w:tcBorders>
              <w:bottom w:val="single" w:color="auto" w:sz="4" w:space="0"/>
            </w:tcBorders>
            <w:shd w:val="clear" w:color="auto" w:fill="FFFFFF"/>
            <w:vAlign w:val="top"/>
          </w:tcPr>
          <w:p w14:paraId="516B2FD1">
            <w:pPr>
              <w:spacing w:line="600" w:lineRule="auto"/>
              <w:jc w:val="center"/>
            </w:pPr>
            <w:r>
              <w:rPr>
                <w:rFonts w:hint="eastAsia"/>
                <w:sz w:val="22"/>
                <w:szCs w:val="22"/>
                <w:lang w:val="en-US" w:eastAsia="zh-CN"/>
              </w:rPr>
              <w:t>3</w:t>
            </w:r>
          </w:p>
        </w:tc>
      </w:tr>
      <w:tr w14:paraId="0AD507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4AB668F1">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04161C73">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334D200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761319B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14:paraId="5C59538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14:paraId="382A996D">
            <w:pPr>
              <w:spacing w:line="600" w:lineRule="auto"/>
              <w:jc w:val="center"/>
              <w:rPr>
                <w:rFonts w:hint="eastAsia" w:eastAsia="仿宋_GB2312"/>
                <w:sz w:val="22"/>
                <w:szCs w:val="22"/>
                <w:lang w:val="en-US" w:eastAsia="zh-CN"/>
              </w:rPr>
            </w:pPr>
            <w:r>
              <w:rPr>
                <w:rFonts w:hint="eastAsia"/>
                <w:sz w:val="22"/>
                <w:szCs w:val="22"/>
                <w:lang w:val="en-US" w:eastAsia="zh-CN"/>
              </w:rPr>
              <w:t>5</w:t>
            </w:r>
          </w:p>
        </w:tc>
        <w:tc>
          <w:tcPr>
            <w:tcW w:w="874" w:type="dxa"/>
            <w:shd w:val="clear" w:color="auto" w:fill="FFFFFF"/>
            <w:vAlign w:val="top"/>
          </w:tcPr>
          <w:p w14:paraId="13AB6426">
            <w:pPr>
              <w:spacing w:line="600" w:lineRule="auto"/>
              <w:jc w:val="center"/>
            </w:pPr>
            <w:r>
              <w:rPr>
                <w:rFonts w:hint="eastAsia"/>
                <w:sz w:val="22"/>
                <w:szCs w:val="22"/>
                <w:lang w:val="en-US" w:eastAsia="zh-CN"/>
              </w:rPr>
              <w:t>5</w:t>
            </w:r>
          </w:p>
        </w:tc>
      </w:tr>
      <w:tr w14:paraId="4309E2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44B4D9D6">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14:paraId="3185B88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0B9CEBA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14:paraId="05EE4ED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14:paraId="2F401CAE">
            <w:pPr>
              <w:spacing w:line="600" w:lineRule="auto"/>
              <w:jc w:val="center"/>
              <w:rPr>
                <w:rFonts w:hint="eastAsia" w:eastAsia="仿宋_GB2312"/>
                <w:sz w:val="22"/>
                <w:szCs w:val="2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vAlign w:val="top"/>
          </w:tcPr>
          <w:p w14:paraId="589B9C06">
            <w:pPr>
              <w:spacing w:line="600" w:lineRule="auto"/>
              <w:jc w:val="center"/>
            </w:pPr>
            <w:r>
              <w:rPr>
                <w:rFonts w:hint="eastAsia"/>
                <w:sz w:val="22"/>
                <w:szCs w:val="22"/>
                <w:lang w:val="en-US" w:eastAsia="zh-CN"/>
              </w:rPr>
              <w:t>4</w:t>
            </w:r>
          </w:p>
        </w:tc>
      </w:tr>
      <w:tr w14:paraId="4E0EE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3C497D59">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18220709">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209D989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14:paraId="6D81A73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14:paraId="58461223">
            <w:pPr>
              <w:spacing w:line="600" w:lineRule="auto"/>
              <w:jc w:val="center"/>
              <w:rPr>
                <w:rFonts w:hint="eastAsia" w:eastAsia="仿宋_GB2312"/>
                <w:sz w:val="22"/>
                <w:szCs w:val="22"/>
                <w:lang w:val="en-US" w:eastAsia="zh-CN"/>
              </w:rPr>
            </w:pPr>
            <w:r>
              <w:rPr>
                <w:rFonts w:hint="eastAsia"/>
                <w:sz w:val="22"/>
                <w:szCs w:val="22"/>
                <w:lang w:val="en-US" w:eastAsia="zh-CN"/>
              </w:rPr>
              <w:t>4</w:t>
            </w:r>
          </w:p>
        </w:tc>
        <w:tc>
          <w:tcPr>
            <w:tcW w:w="874" w:type="dxa"/>
            <w:tcBorders>
              <w:bottom w:val="single" w:color="auto" w:sz="4" w:space="0"/>
            </w:tcBorders>
            <w:shd w:val="clear" w:color="auto" w:fill="FFFFFF"/>
            <w:vAlign w:val="top"/>
          </w:tcPr>
          <w:p w14:paraId="5AD743B8">
            <w:pPr>
              <w:spacing w:line="600" w:lineRule="auto"/>
              <w:jc w:val="center"/>
            </w:pPr>
            <w:r>
              <w:rPr>
                <w:rFonts w:hint="eastAsia"/>
                <w:sz w:val="22"/>
                <w:szCs w:val="22"/>
                <w:lang w:val="en-US" w:eastAsia="zh-CN"/>
              </w:rPr>
              <w:t>4</w:t>
            </w:r>
          </w:p>
        </w:tc>
      </w:tr>
      <w:tr w14:paraId="1A67C3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436513AB">
            <w:pPr>
              <w:spacing w:line="0" w:lineRule="atLeast"/>
              <w:jc w:val="center"/>
              <w:rPr>
                <w:rFonts w:ascii="宋体" w:hAnsi="宋体" w:cs="宋体"/>
                <w:color w:val="000000"/>
                <w:kern w:val="0"/>
                <w:sz w:val="22"/>
              </w:rPr>
            </w:pPr>
          </w:p>
        </w:tc>
        <w:tc>
          <w:tcPr>
            <w:tcW w:w="1478" w:type="dxa"/>
            <w:shd w:val="clear" w:color="auto" w:fill="FFFFFF"/>
            <w:vAlign w:val="center"/>
          </w:tcPr>
          <w:p w14:paraId="28F71C7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33D2B14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541C986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14:paraId="6EC8D37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14:paraId="1213FB16">
            <w:pPr>
              <w:spacing w:line="600" w:lineRule="auto"/>
              <w:jc w:val="center"/>
              <w:rPr>
                <w:rFonts w:hint="eastAsia" w:eastAsia="仿宋_GB2312"/>
                <w:sz w:val="22"/>
                <w:szCs w:val="2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vAlign w:val="top"/>
          </w:tcPr>
          <w:p w14:paraId="1C40FFFE">
            <w:pPr>
              <w:spacing w:line="600" w:lineRule="auto"/>
              <w:jc w:val="center"/>
            </w:pPr>
            <w:r>
              <w:rPr>
                <w:rFonts w:hint="eastAsia"/>
                <w:sz w:val="22"/>
                <w:szCs w:val="22"/>
                <w:lang w:val="en-US" w:eastAsia="zh-CN"/>
              </w:rPr>
              <w:t>4</w:t>
            </w:r>
          </w:p>
        </w:tc>
      </w:tr>
      <w:tr w14:paraId="241157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104AC270">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6BB0BC8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14:paraId="71B7C231">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44DB343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4C43A03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14:paraId="22F1CA7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14:paraId="218B2666">
            <w:pPr>
              <w:spacing w:line="600" w:lineRule="auto"/>
              <w:jc w:val="center"/>
              <w:rPr>
                <w:rFonts w:hint="default" w:eastAsia="仿宋_GB2312"/>
                <w:sz w:val="22"/>
                <w:szCs w:val="2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vAlign w:val="top"/>
          </w:tcPr>
          <w:p w14:paraId="3CBFBB70">
            <w:pPr>
              <w:spacing w:line="600" w:lineRule="auto"/>
              <w:jc w:val="center"/>
            </w:pPr>
            <w:r>
              <w:rPr>
                <w:rFonts w:hint="eastAsia"/>
                <w:sz w:val="22"/>
                <w:szCs w:val="22"/>
                <w:lang w:val="en-US" w:eastAsia="zh-CN"/>
              </w:rPr>
              <w:t>4</w:t>
            </w:r>
          </w:p>
        </w:tc>
      </w:tr>
      <w:tr w14:paraId="0D72CD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7DE61E4A">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593091E8">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156995F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028B772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14:paraId="273D6E4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14:paraId="0AF3DFCF">
            <w:pPr>
              <w:spacing w:line="600" w:lineRule="auto"/>
              <w:jc w:val="center"/>
              <w:rPr>
                <w:rFonts w:hint="default" w:eastAsia="仿宋_GB2312"/>
                <w:sz w:val="22"/>
                <w:szCs w:val="2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vAlign w:val="top"/>
          </w:tcPr>
          <w:p w14:paraId="0DB5699B">
            <w:pPr>
              <w:spacing w:line="600" w:lineRule="auto"/>
              <w:jc w:val="center"/>
            </w:pPr>
            <w:r>
              <w:rPr>
                <w:rFonts w:hint="eastAsia"/>
                <w:sz w:val="22"/>
                <w:szCs w:val="22"/>
                <w:lang w:val="en-US" w:eastAsia="zh-CN"/>
              </w:rPr>
              <w:t>4</w:t>
            </w:r>
          </w:p>
        </w:tc>
      </w:tr>
      <w:tr w14:paraId="0744E1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4F2AE3C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14:paraId="4CCD9F4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14:paraId="6DFE8FC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14:paraId="48C23CA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14:paraId="73603366">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000000" w:fill="FFFFFF"/>
            <w:vAlign w:val="top"/>
          </w:tcPr>
          <w:p w14:paraId="22797006">
            <w:pPr>
              <w:spacing w:line="600" w:lineRule="auto"/>
              <w:jc w:val="center"/>
              <w:rPr>
                <w:rFonts w:hint="default"/>
                <w:lang w:val="en-US"/>
              </w:rPr>
            </w:pPr>
            <w:r>
              <w:rPr>
                <w:rFonts w:hint="eastAsia"/>
                <w:sz w:val="22"/>
                <w:szCs w:val="22"/>
                <w:lang w:val="en-US" w:eastAsia="zh-CN"/>
              </w:rPr>
              <w:t>10</w:t>
            </w:r>
          </w:p>
        </w:tc>
      </w:tr>
      <w:tr w14:paraId="5DD3C0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6020A70A">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732E9C7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14:paraId="7BDA6F8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14:paraId="7E5ABB8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14:paraId="06B5AD2B">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000000" w:fill="FFFFFF"/>
            <w:vAlign w:val="top"/>
          </w:tcPr>
          <w:p w14:paraId="21BB576D">
            <w:pPr>
              <w:spacing w:line="600" w:lineRule="auto"/>
              <w:jc w:val="center"/>
              <w:rPr>
                <w:rFonts w:hint="default"/>
                <w:lang w:val="en-US"/>
              </w:rPr>
            </w:pPr>
            <w:r>
              <w:rPr>
                <w:rFonts w:hint="eastAsia"/>
                <w:sz w:val="22"/>
                <w:szCs w:val="22"/>
                <w:lang w:val="en-US" w:eastAsia="zh-CN"/>
              </w:rPr>
              <w:t>10</w:t>
            </w:r>
          </w:p>
        </w:tc>
      </w:tr>
      <w:tr w14:paraId="69FB9F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1116602F">
            <w:pPr>
              <w:spacing w:line="0" w:lineRule="atLeast"/>
              <w:jc w:val="center"/>
              <w:rPr>
                <w:rFonts w:ascii="宋体" w:hAnsi="宋体" w:cs="宋体"/>
                <w:color w:val="000000"/>
                <w:kern w:val="0"/>
                <w:sz w:val="22"/>
              </w:rPr>
            </w:pPr>
          </w:p>
        </w:tc>
        <w:tc>
          <w:tcPr>
            <w:tcW w:w="1478" w:type="dxa"/>
            <w:shd w:val="clear" w:color="auto" w:fill="FFFFFF"/>
            <w:vAlign w:val="center"/>
          </w:tcPr>
          <w:p w14:paraId="41B5448B">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14:paraId="76F800D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14:paraId="1ECBFEC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14:paraId="5EDDC495">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000000" w:fill="FFFFFF"/>
            <w:vAlign w:val="top"/>
          </w:tcPr>
          <w:p w14:paraId="4A63745F">
            <w:pPr>
              <w:spacing w:line="600" w:lineRule="auto"/>
              <w:jc w:val="center"/>
            </w:pPr>
            <w:r>
              <w:rPr>
                <w:rFonts w:hint="eastAsia"/>
                <w:sz w:val="22"/>
                <w:szCs w:val="22"/>
                <w:lang w:val="en-US" w:eastAsia="zh-CN"/>
              </w:rPr>
              <w:t>10</w:t>
            </w:r>
          </w:p>
        </w:tc>
      </w:tr>
      <w:tr w14:paraId="3353B3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300DA108">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0799CE2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14:paraId="75D3B45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14:paraId="1B8F968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14:paraId="430B042F">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auto" w:fill="FFFFFF"/>
            <w:vAlign w:val="top"/>
          </w:tcPr>
          <w:p w14:paraId="537596B3">
            <w:pPr>
              <w:spacing w:line="600" w:lineRule="auto"/>
              <w:jc w:val="center"/>
            </w:pPr>
            <w:r>
              <w:rPr>
                <w:rFonts w:hint="eastAsia"/>
                <w:sz w:val="22"/>
                <w:szCs w:val="22"/>
                <w:lang w:val="en-US" w:eastAsia="zh-CN"/>
              </w:rPr>
              <w:t>10</w:t>
            </w:r>
          </w:p>
        </w:tc>
      </w:tr>
      <w:tr w14:paraId="5033C3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2E398C5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14:paraId="4F5371C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14:paraId="7A48D1F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14:paraId="6853F8F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14:paraId="6D359654">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auto" w:fill="FFFFFF"/>
            <w:vAlign w:val="top"/>
          </w:tcPr>
          <w:p w14:paraId="6E88459D">
            <w:pPr>
              <w:spacing w:line="600" w:lineRule="auto"/>
              <w:jc w:val="center"/>
              <w:rPr>
                <w:rFonts w:hint="default"/>
                <w:lang w:val="en-US"/>
              </w:rPr>
            </w:pPr>
            <w:r>
              <w:rPr>
                <w:rFonts w:hint="eastAsia"/>
                <w:sz w:val="22"/>
                <w:szCs w:val="22"/>
                <w:lang w:val="en-US" w:eastAsia="zh-CN"/>
              </w:rPr>
              <w:t>10</w:t>
            </w:r>
          </w:p>
        </w:tc>
      </w:tr>
      <w:tr w14:paraId="299706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7A3A0C8C">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33AD530B">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7DE05C0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14:paraId="679DF91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14:paraId="45F8DF6C">
            <w:pPr>
              <w:spacing w:line="600" w:lineRule="auto"/>
              <w:jc w:val="center"/>
              <w:rPr>
                <w:rFonts w:hint="default" w:eastAsia="仿宋_GB2312"/>
                <w:sz w:val="22"/>
                <w:szCs w:val="22"/>
                <w:lang w:val="en-US" w:eastAsia="zh-CN"/>
              </w:rPr>
            </w:pPr>
            <w:r>
              <w:rPr>
                <w:rFonts w:hint="eastAsia"/>
                <w:sz w:val="22"/>
                <w:szCs w:val="22"/>
                <w:lang w:val="en-US" w:eastAsia="zh-CN"/>
              </w:rPr>
              <w:t>10</w:t>
            </w:r>
          </w:p>
        </w:tc>
        <w:tc>
          <w:tcPr>
            <w:tcW w:w="874" w:type="dxa"/>
            <w:shd w:val="clear" w:color="000000" w:fill="FFFFFF"/>
            <w:vAlign w:val="top"/>
          </w:tcPr>
          <w:p w14:paraId="098CFAB7">
            <w:pPr>
              <w:spacing w:line="600" w:lineRule="auto"/>
              <w:jc w:val="center"/>
            </w:pPr>
            <w:r>
              <w:rPr>
                <w:rFonts w:hint="eastAsia"/>
                <w:sz w:val="22"/>
                <w:szCs w:val="22"/>
                <w:lang w:val="en-US" w:eastAsia="zh-CN"/>
              </w:rPr>
              <w:t>10</w:t>
            </w:r>
          </w:p>
        </w:tc>
      </w:tr>
      <w:tr w14:paraId="2568CB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28269FBA">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14:paraId="4BAFA233">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14:paraId="798BE669">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14:paraId="01937AD9">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14:paraId="39B53C63"/>
    <w:p w14:paraId="406D7853">
      <w:pPr>
        <w:spacing w:line="360" w:lineRule="auto"/>
        <w:rPr>
          <w:color w:val="auto"/>
        </w:rPr>
      </w:pPr>
      <w:r>
        <w:rPr>
          <w:rFonts w:hint="eastAsia"/>
          <w:color w:val="auto"/>
        </w:rPr>
        <w:t>3、评价方法</w:t>
      </w:r>
    </w:p>
    <w:p w14:paraId="7DC7CA46">
      <w:pPr>
        <w:spacing w:line="360" w:lineRule="auto"/>
        <w:ind w:firstLine="640" w:firstLineChars="200"/>
        <w:rPr>
          <w:bCs/>
          <w:color w:val="auto"/>
          <w:sz w:val="32"/>
          <w:szCs w:val="32"/>
        </w:rPr>
      </w:pPr>
      <w:r>
        <w:rPr>
          <w:rFonts w:hint="eastAsia"/>
          <w:bCs/>
          <w:color w:val="auto"/>
          <w:sz w:val="32"/>
          <w:szCs w:val="32"/>
        </w:rPr>
        <w:t>财政和部门评价的方法主要包括成本效益分析法、比较法、因素分析法、最低成本法、公众评判法、标杆管理法等。根据评价对象的具体情况，可采用一种或多种方法。</w:t>
      </w:r>
    </w:p>
    <w:p w14:paraId="018F915F">
      <w:pPr>
        <w:spacing w:line="360" w:lineRule="auto"/>
        <w:ind w:firstLine="640" w:firstLineChars="200"/>
        <w:rPr>
          <w:bCs/>
          <w:color w:val="auto"/>
          <w:sz w:val="32"/>
          <w:szCs w:val="32"/>
        </w:rPr>
      </w:pPr>
      <w:r>
        <w:rPr>
          <w:rFonts w:hint="eastAsia"/>
          <w:bCs/>
          <w:color w:val="auto"/>
          <w:sz w:val="32"/>
          <w:szCs w:val="32"/>
        </w:rPr>
        <w:t>（一）成本效益分析法。是指将投入与产出、效益进行关联性分析的</w:t>
      </w:r>
      <w:r>
        <w:rPr>
          <w:bCs/>
          <w:color w:val="auto"/>
          <w:sz w:val="32"/>
          <w:szCs w:val="32"/>
        </w:rPr>
        <w:t>方法</w:t>
      </w:r>
      <w:r>
        <w:rPr>
          <w:rFonts w:hint="eastAsia"/>
          <w:bCs/>
          <w:color w:val="auto"/>
          <w:sz w:val="32"/>
          <w:szCs w:val="32"/>
        </w:rPr>
        <w:t xml:space="preserve">。 </w:t>
      </w:r>
    </w:p>
    <w:p w14:paraId="2CDE4A3D">
      <w:pPr>
        <w:spacing w:line="360" w:lineRule="auto"/>
        <w:ind w:firstLine="640" w:firstLineChars="200"/>
        <w:rPr>
          <w:color w:val="auto"/>
        </w:rPr>
      </w:pPr>
      <w:r>
        <w:rPr>
          <w:rFonts w:hint="eastAsia"/>
          <w:bCs/>
          <w:color w:val="auto"/>
          <w:sz w:val="32"/>
          <w:szCs w:val="32"/>
        </w:rPr>
        <w:t>（二）比较法。是指将实施情况与绩效目标、历史情况、不同部门和地区同类支出情况进行比较的</w:t>
      </w:r>
      <w:r>
        <w:rPr>
          <w:bCs/>
          <w:color w:val="auto"/>
          <w:sz w:val="32"/>
          <w:szCs w:val="32"/>
        </w:rPr>
        <w:t>方法</w:t>
      </w:r>
      <w:r>
        <w:rPr>
          <w:rFonts w:hint="eastAsia"/>
          <w:bCs/>
          <w:color w:val="auto"/>
          <w:sz w:val="32"/>
          <w:szCs w:val="32"/>
        </w:rPr>
        <w:t>。</w:t>
      </w:r>
    </w:p>
    <w:p w14:paraId="2A73DEDF">
      <w:pPr>
        <w:spacing w:line="360" w:lineRule="auto"/>
        <w:rPr>
          <w:color w:val="auto"/>
        </w:rPr>
      </w:pPr>
      <w:r>
        <w:rPr>
          <w:rFonts w:hint="eastAsia"/>
          <w:color w:val="auto"/>
        </w:rPr>
        <w:t>4、评价标准</w:t>
      </w:r>
    </w:p>
    <w:p w14:paraId="77C0771D">
      <w:pPr>
        <w:spacing w:line="360" w:lineRule="auto"/>
        <w:ind w:firstLine="640" w:firstLineChars="200"/>
        <w:rPr>
          <w:bCs/>
          <w:color w:val="auto"/>
          <w:sz w:val="32"/>
          <w:szCs w:val="32"/>
        </w:rPr>
      </w:pPr>
      <w:r>
        <w:rPr>
          <w:rFonts w:hint="eastAsia"/>
          <w:bCs/>
          <w:color w:val="auto"/>
          <w:sz w:val="32"/>
          <w:szCs w:val="32"/>
        </w:rPr>
        <w:t>绩效评价标准通常包括计划标准、行业标准、历史标准等，用于对绩效指标完成情况进行比较。</w:t>
      </w:r>
    </w:p>
    <w:p w14:paraId="01203853">
      <w:pPr>
        <w:spacing w:line="360" w:lineRule="auto"/>
        <w:ind w:firstLine="640" w:firstLineChars="200"/>
        <w:rPr>
          <w:bCs/>
          <w:color w:val="auto"/>
          <w:sz w:val="32"/>
          <w:szCs w:val="32"/>
        </w:rPr>
      </w:pPr>
      <w:r>
        <w:rPr>
          <w:rFonts w:hint="eastAsia"/>
          <w:bCs/>
          <w:color w:val="auto"/>
          <w:sz w:val="32"/>
          <w:szCs w:val="32"/>
        </w:rPr>
        <w:t>（一）计划标准。指以预先制定的目标、计划、预算、定额等作为评价标准。</w:t>
      </w:r>
    </w:p>
    <w:p w14:paraId="6A159ABE">
      <w:pPr>
        <w:spacing w:line="360" w:lineRule="auto"/>
        <w:ind w:firstLine="640" w:firstLineChars="200"/>
        <w:rPr>
          <w:bCs/>
          <w:color w:val="auto"/>
          <w:sz w:val="32"/>
          <w:szCs w:val="32"/>
        </w:rPr>
      </w:pPr>
      <w:r>
        <w:rPr>
          <w:rFonts w:hint="eastAsia"/>
          <w:bCs/>
          <w:color w:val="auto"/>
          <w:sz w:val="32"/>
          <w:szCs w:val="32"/>
        </w:rPr>
        <w:t>（二）行业标准。指参照国家公布的行业指标数据制定的评价标准。</w:t>
      </w:r>
    </w:p>
    <w:p w14:paraId="4940F7DA">
      <w:pPr>
        <w:pStyle w:val="4"/>
        <w:spacing w:line="360" w:lineRule="auto"/>
        <w:rPr>
          <w:rFonts w:ascii="仿宋_GB2312" w:eastAsia="仿宋_GB2312"/>
          <w:b w:val="0"/>
          <w:bCs w:val="0"/>
          <w:color w:val="auto"/>
        </w:rPr>
      </w:pPr>
      <w:bookmarkStart w:id="6" w:name="_Toc68703833"/>
      <w:r>
        <w:rPr>
          <w:rFonts w:hint="eastAsia" w:ascii="仿宋_GB2312" w:eastAsia="仿宋_GB2312"/>
          <w:b w:val="0"/>
          <w:bCs w:val="0"/>
          <w:color w:val="auto"/>
        </w:rPr>
        <w:t>（三）绩效评价工作过程。</w:t>
      </w:r>
      <w:bookmarkEnd w:id="6"/>
    </w:p>
    <w:p w14:paraId="633B92A0">
      <w:pPr>
        <w:spacing w:line="360" w:lineRule="auto"/>
        <w:rPr>
          <w:color w:val="auto"/>
        </w:rPr>
      </w:pPr>
      <w:r>
        <w:rPr>
          <w:rFonts w:hint="eastAsia"/>
          <w:color w:val="auto"/>
        </w:rPr>
        <w:t>1、前期准备：</w:t>
      </w:r>
    </w:p>
    <w:p w14:paraId="66C68147">
      <w:pPr>
        <w:spacing w:line="360" w:lineRule="auto"/>
        <w:ind w:firstLine="600" w:firstLineChars="200"/>
        <w:rPr>
          <w:color w:val="auto"/>
        </w:rPr>
      </w:pPr>
      <w:r>
        <w:rPr>
          <w:rFonts w:hint="eastAsia"/>
          <w:color w:val="auto"/>
        </w:rPr>
        <w:t>首先成立评价工作组，开展前期调研；其次明确项目绩效目标，设计绩效评价指标体系并确定绩效评价方法；接着确定现场和非现场评价范围，设计资料清单；最后制定评价实施方案并进行论证。</w:t>
      </w:r>
    </w:p>
    <w:p w14:paraId="42AFAC22">
      <w:pPr>
        <w:spacing w:line="360" w:lineRule="auto"/>
        <w:rPr>
          <w:color w:val="auto"/>
        </w:rPr>
      </w:pPr>
      <w:r>
        <w:rPr>
          <w:color w:val="auto"/>
        </w:rPr>
        <w:t>2</w:t>
      </w:r>
      <w:r>
        <w:rPr>
          <w:rFonts w:hint="eastAsia"/>
          <w:color w:val="auto"/>
        </w:rPr>
        <w:t>、组织实施：</w:t>
      </w:r>
    </w:p>
    <w:p w14:paraId="0D3FA5FD">
      <w:pPr>
        <w:spacing w:line="360" w:lineRule="auto"/>
        <w:ind w:firstLine="600" w:firstLineChars="200"/>
        <w:rPr>
          <w:color w:val="auto"/>
        </w:rPr>
      </w:pPr>
      <w:r>
        <w:rPr>
          <w:rFonts w:hint="eastAsia"/>
          <w:color w:val="auto"/>
        </w:rPr>
        <w:t>制定绩效评价工作方案，具体包括项目概况、评价思路、方法手段、组织实施、进度安排等。收集项目立项依据、相关会议纪要、实施方案、财政资金分配方案、支付管理情况等相关评价资料并进行梳理。</w:t>
      </w:r>
      <w:r>
        <w:rPr>
          <w:color w:val="auto"/>
        </w:rPr>
        <w:t xml:space="preserve"> </w:t>
      </w:r>
    </w:p>
    <w:p w14:paraId="1EE8D03A">
      <w:pPr>
        <w:spacing w:line="360" w:lineRule="auto"/>
        <w:rPr>
          <w:color w:val="auto"/>
        </w:rPr>
      </w:pPr>
      <w:r>
        <w:rPr>
          <w:rFonts w:hint="eastAsia"/>
          <w:color w:val="auto"/>
        </w:rPr>
        <w:t>3、分析评价：</w:t>
      </w:r>
    </w:p>
    <w:p w14:paraId="30802FF0">
      <w:pPr>
        <w:spacing w:line="360" w:lineRule="auto"/>
        <w:ind w:firstLine="600" w:firstLineChars="200"/>
        <w:rPr>
          <w:rFonts w:ascii="仿宋_GB2312"/>
          <w:color w:val="auto"/>
        </w:rPr>
      </w:pPr>
      <w:r>
        <w:rPr>
          <w:rFonts w:hint="eastAsia"/>
          <w:color w:val="auto"/>
        </w:rPr>
        <w:t>根据收集梳理的资料围绕项目立项、资金落实、业务管理、财务管理、项目产出、项目效益等内容，对照已确定的绩效评价指标进行详细全面的分析评价，逐项打分并形成绩效评价最终结果。</w:t>
      </w:r>
    </w:p>
    <w:p w14:paraId="5A6DB716">
      <w:pPr>
        <w:pStyle w:val="3"/>
        <w:spacing w:line="360" w:lineRule="auto"/>
        <w:rPr>
          <w:rFonts w:ascii="宋体" w:hAnsi="宋体" w:eastAsia="宋体"/>
          <w:color w:val="auto"/>
          <w:sz w:val="32"/>
          <w:szCs w:val="32"/>
        </w:rPr>
      </w:pPr>
      <w:bookmarkStart w:id="7" w:name="_Toc68703834"/>
      <w:r>
        <w:rPr>
          <w:rFonts w:hint="eastAsia" w:ascii="宋体" w:hAnsi="宋体" w:eastAsia="宋体"/>
          <w:color w:val="auto"/>
          <w:sz w:val="32"/>
          <w:szCs w:val="32"/>
        </w:rPr>
        <w:t>三、综合评价情况及评价结论</w:t>
      </w:r>
      <w:bookmarkEnd w:id="7"/>
    </w:p>
    <w:p w14:paraId="30250112">
      <w:pPr>
        <w:pStyle w:val="4"/>
        <w:spacing w:line="360" w:lineRule="auto"/>
        <w:rPr>
          <w:rFonts w:ascii="仿宋_GB2312" w:eastAsia="仿宋_GB2312"/>
          <w:b w:val="0"/>
          <w:bCs w:val="0"/>
          <w:color w:val="auto"/>
        </w:rPr>
      </w:pPr>
      <w:bookmarkStart w:id="8" w:name="_Toc68703835"/>
      <w:r>
        <w:rPr>
          <w:rFonts w:hint="eastAsia" w:ascii="仿宋_GB2312" w:eastAsia="仿宋_GB2312"/>
          <w:b w:val="0"/>
          <w:bCs w:val="0"/>
          <w:color w:val="auto"/>
        </w:rPr>
        <w:t>（一）综合评价情况</w:t>
      </w:r>
      <w:bookmarkEnd w:id="8"/>
    </w:p>
    <w:p w14:paraId="489554A5">
      <w:pPr>
        <w:spacing w:line="360" w:lineRule="auto"/>
        <w:ind w:firstLine="600" w:firstLineChars="200"/>
        <w:rPr>
          <w:rFonts w:hint="eastAsia"/>
          <w:color w:val="auto"/>
          <w:lang w:val="en-US" w:eastAsia="zh-CN"/>
        </w:rPr>
      </w:pPr>
      <w:r>
        <w:rPr>
          <w:rFonts w:hint="eastAsia"/>
          <w:color w:val="auto"/>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03A0DFD">
      <w:pPr>
        <w:spacing w:line="360" w:lineRule="auto"/>
        <w:ind w:firstLine="600" w:firstLineChars="200"/>
        <w:rPr>
          <w:color w:val="auto"/>
        </w:rPr>
      </w:pPr>
      <w:r>
        <w:rPr>
          <w:rFonts w:hint="eastAsia"/>
          <w:color w:val="auto"/>
          <w:lang w:val="en-US" w:eastAsia="zh-CN"/>
        </w:rPr>
        <w:t>本项目严格按照科学公正、统筹兼顾、激励约束、公开透明的绩效评价原则，采用成本效益分析法、因素分析法，对本项目的立项、绩效目标、资金投入、资金管理、组织实施、产出数量、产出质量、产出时效、产出成本、项目效益进行了综合评价</w:t>
      </w:r>
      <w:r>
        <w:rPr>
          <w:rFonts w:hint="eastAsia"/>
          <w:color w:val="auto"/>
        </w:rPr>
        <w:t>。</w:t>
      </w:r>
    </w:p>
    <w:p w14:paraId="4072E0C4">
      <w:pPr>
        <w:spacing w:line="360" w:lineRule="auto"/>
        <w:ind w:firstLine="600" w:firstLineChars="200"/>
        <w:jc w:val="center"/>
        <w:rPr>
          <w:color w:val="auto"/>
          <w:highlight w:val="yellow"/>
        </w:rPr>
      </w:pPr>
      <w:r>
        <w:rPr>
          <w:rFonts w:hint="eastAsia"/>
          <w:color w:val="auto"/>
        </w:rPr>
        <w:t>2023年大学生志愿服务西部计划中央财政补助专项提前下达资</w:t>
      </w:r>
      <w:r>
        <w:rPr>
          <w:rFonts w:hint="eastAsia"/>
          <w:color w:val="auto"/>
          <w:highlight w:val="none"/>
        </w:rPr>
        <w:t>金项目评价得分情况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574A4C2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867ACBB">
            <w:pPr>
              <w:jc w:val="center"/>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06BCF1F">
            <w:pPr>
              <w:jc w:val="center"/>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FED3DB5">
            <w:pPr>
              <w:jc w:val="center"/>
              <w:rPr>
                <w:b/>
                <w:bCs/>
                <w:color w:val="auto"/>
                <w:sz w:val="22"/>
              </w:rPr>
            </w:pPr>
            <w:r>
              <w:rPr>
                <w:rFonts w:hint="eastAsia"/>
                <w:b/>
                <w:bCs/>
                <w:color w:val="auto"/>
                <w:sz w:val="22"/>
              </w:rPr>
              <w:t>得分</w:t>
            </w:r>
          </w:p>
        </w:tc>
      </w:tr>
      <w:tr w14:paraId="0FA8221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E5DC3A">
            <w:pPr>
              <w:jc w:val="center"/>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4207B447">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2B93D63">
            <w:pPr>
              <w:jc w:val="center"/>
              <w:rPr>
                <w:rFonts w:hint="default" w:eastAsia="仿宋_GB2312"/>
                <w:color w:val="auto"/>
                <w:sz w:val="22"/>
                <w:lang w:val="en-US" w:eastAsia="zh-CN"/>
              </w:rPr>
            </w:pPr>
            <w:r>
              <w:rPr>
                <w:rFonts w:hint="eastAsia"/>
                <w:color w:val="auto"/>
                <w:sz w:val="22"/>
                <w:lang w:val="en-US" w:eastAsia="zh-CN"/>
              </w:rPr>
              <w:t>20</w:t>
            </w:r>
          </w:p>
        </w:tc>
      </w:tr>
      <w:tr w14:paraId="58224F7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A0F572">
            <w:pPr>
              <w:jc w:val="center"/>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79BEF81">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93568F3">
            <w:pPr>
              <w:jc w:val="center"/>
              <w:rPr>
                <w:rFonts w:hint="default" w:eastAsia="仿宋_GB2312"/>
                <w:color w:val="auto"/>
                <w:sz w:val="22"/>
                <w:lang w:val="en-US" w:eastAsia="zh-CN"/>
              </w:rPr>
            </w:pPr>
            <w:r>
              <w:rPr>
                <w:rFonts w:hint="eastAsia"/>
                <w:color w:val="auto"/>
                <w:sz w:val="22"/>
                <w:lang w:val="en-US" w:eastAsia="zh-CN"/>
              </w:rPr>
              <w:t>20</w:t>
            </w:r>
          </w:p>
        </w:tc>
      </w:tr>
      <w:tr w14:paraId="2DA6AB1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EB3C55">
            <w:pPr>
              <w:jc w:val="center"/>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7FBBA55B">
            <w:pPr>
              <w:jc w:val="center"/>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EA51FB2">
            <w:pPr>
              <w:jc w:val="center"/>
              <w:rPr>
                <w:rFonts w:hint="default" w:eastAsia="仿宋_GB2312"/>
                <w:color w:val="auto"/>
                <w:sz w:val="22"/>
                <w:lang w:val="en-US" w:eastAsia="zh-CN"/>
              </w:rPr>
            </w:pPr>
            <w:r>
              <w:rPr>
                <w:rFonts w:hint="eastAsia"/>
                <w:color w:val="auto"/>
                <w:sz w:val="22"/>
                <w:lang w:val="en-US" w:eastAsia="zh-CN"/>
              </w:rPr>
              <w:t>40</w:t>
            </w:r>
          </w:p>
        </w:tc>
      </w:tr>
      <w:tr w14:paraId="43E4502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FE662C1">
            <w:pPr>
              <w:jc w:val="center"/>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F923C81">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D0C0808">
            <w:pPr>
              <w:jc w:val="center"/>
              <w:rPr>
                <w:rFonts w:hint="default" w:eastAsia="仿宋_GB2312"/>
                <w:color w:val="auto"/>
                <w:sz w:val="22"/>
                <w:lang w:val="en-US" w:eastAsia="zh-CN"/>
              </w:rPr>
            </w:pPr>
            <w:r>
              <w:rPr>
                <w:rFonts w:hint="eastAsia"/>
                <w:color w:val="auto"/>
                <w:sz w:val="22"/>
                <w:lang w:val="en-US" w:eastAsia="zh-CN"/>
              </w:rPr>
              <w:t>20</w:t>
            </w:r>
          </w:p>
        </w:tc>
      </w:tr>
      <w:tr w14:paraId="4EB22F7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BA4447">
            <w:pPr>
              <w:jc w:val="center"/>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14:paraId="38CDE166">
            <w:pPr>
              <w:jc w:val="center"/>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924291F">
            <w:pPr>
              <w:jc w:val="center"/>
              <w:rPr>
                <w:rFonts w:hint="default" w:eastAsia="仿宋_GB2312"/>
                <w:b/>
                <w:bCs/>
                <w:color w:val="auto"/>
                <w:sz w:val="22"/>
                <w:lang w:val="en-US" w:eastAsia="zh-CN"/>
              </w:rPr>
            </w:pPr>
            <w:r>
              <w:rPr>
                <w:rFonts w:hint="eastAsia"/>
                <w:b/>
                <w:bCs/>
                <w:color w:val="auto"/>
                <w:sz w:val="22"/>
                <w:lang w:val="en-US" w:eastAsia="zh-CN"/>
              </w:rPr>
              <w:t>100</w:t>
            </w:r>
          </w:p>
        </w:tc>
      </w:tr>
    </w:tbl>
    <w:p w14:paraId="48003C49">
      <w:pPr>
        <w:pStyle w:val="4"/>
        <w:spacing w:line="360" w:lineRule="auto"/>
        <w:rPr>
          <w:rFonts w:ascii="仿宋_GB2312" w:eastAsia="仿宋_GB2312"/>
          <w:b w:val="0"/>
          <w:bCs w:val="0"/>
          <w:color w:val="auto"/>
        </w:rPr>
      </w:pPr>
      <w:bookmarkStart w:id="9" w:name="_Toc68703836"/>
      <w:r>
        <w:rPr>
          <w:rFonts w:hint="eastAsia" w:ascii="仿宋_GB2312" w:eastAsia="仿宋_GB2312"/>
          <w:b w:val="0"/>
          <w:bCs w:val="0"/>
          <w:color w:val="auto"/>
        </w:rPr>
        <w:t>（二）评价结论</w:t>
      </w:r>
      <w:bookmarkEnd w:id="9"/>
    </w:p>
    <w:p w14:paraId="5B527200">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14:paraId="0C115010">
      <w:pPr>
        <w:pStyle w:val="3"/>
        <w:spacing w:line="360" w:lineRule="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14:paraId="13664938">
      <w:pPr>
        <w:pStyle w:val="4"/>
        <w:spacing w:line="360" w:lineRule="auto"/>
        <w:rPr>
          <w:rFonts w:ascii="仿宋_GB2312" w:eastAsia="仿宋_GB2312"/>
          <w:b w:val="0"/>
          <w:bCs w:val="0"/>
          <w:color w:val="auto"/>
        </w:rPr>
      </w:pPr>
      <w:bookmarkStart w:id="11" w:name="_Toc68703838"/>
      <w:r>
        <w:rPr>
          <w:rFonts w:hint="eastAsia" w:ascii="仿宋_GB2312" w:eastAsia="仿宋_GB2312"/>
          <w:b w:val="0"/>
          <w:bCs w:val="0"/>
          <w:color w:val="auto"/>
        </w:rPr>
        <w:t>（一）项目决策情况。</w:t>
      </w:r>
      <w:bookmarkEnd w:id="11"/>
    </w:p>
    <w:p w14:paraId="0F0747B3">
      <w:pPr>
        <w:spacing w:line="360" w:lineRule="auto"/>
        <w:rPr>
          <w:color w:val="auto"/>
        </w:rPr>
      </w:pPr>
      <w:r>
        <w:rPr>
          <w:rFonts w:hint="eastAsia"/>
          <w:color w:val="auto"/>
        </w:rPr>
        <w:t>1、立项依据充分性</w:t>
      </w:r>
    </w:p>
    <w:p w14:paraId="0FC0FF3B">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①项目立项符合国家法律法规、国民经济发展规划和相关政策；</w:t>
      </w:r>
    </w:p>
    <w:p w14:paraId="448C8508">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②项目立项符合行业发展规划和政策要求；</w:t>
      </w:r>
    </w:p>
    <w:p w14:paraId="75961DD9">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③项目立项与部门职责范围相符，属于部门履职所需；</w:t>
      </w:r>
    </w:p>
    <w:p w14:paraId="4D51DFCF">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④项目属于公共财政支持范围，符合中央、地方事权支出责任划分原则；</w:t>
      </w:r>
    </w:p>
    <w:p w14:paraId="50F3D552">
      <w:pPr>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⑤项目与相关部门同类项目或部门内部相关项目重复</w:t>
      </w:r>
      <w:r>
        <w:rPr>
          <w:rFonts w:hint="eastAsia" w:ascii="Times New Roman" w:hAnsi="Times New Roman" w:eastAsia="方正仿宋_GBK" w:cs="Times New Roman"/>
          <w:b w:val="0"/>
          <w:bCs w:val="0"/>
          <w:kern w:val="28"/>
          <w:sz w:val="32"/>
          <w:szCs w:val="32"/>
          <w:lang w:val="en-US" w:eastAsia="zh-CN" w:bidi="ar-SA"/>
        </w:rPr>
        <w:t>。</w:t>
      </w:r>
    </w:p>
    <w:p w14:paraId="021E350B">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eastAsia="方正仿宋_GBK" w:cs="Times New Roman"/>
          <w:b w:val="0"/>
          <w:bCs w:val="0"/>
          <w:kern w:val="28"/>
          <w:sz w:val="32"/>
          <w:szCs w:val="32"/>
          <w:lang w:val="en-US" w:eastAsia="zh-CN" w:bidi="ar-SA"/>
        </w:rPr>
        <w:t>3</w:t>
      </w:r>
      <w:r>
        <w:rPr>
          <w:rFonts w:hint="default" w:ascii="Times New Roman" w:hAnsi="Times New Roman" w:eastAsia="方正仿宋_GBK" w:cs="Times New Roman"/>
          <w:b w:val="0"/>
          <w:bCs w:val="0"/>
          <w:kern w:val="28"/>
          <w:sz w:val="32"/>
          <w:szCs w:val="32"/>
          <w:lang w:val="en-US" w:eastAsia="zh-CN" w:bidi="ar-SA"/>
        </w:rPr>
        <w:t>分，得分</w:t>
      </w:r>
      <w:r>
        <w:rPr>
          <w:rFonts w:hint="eastAsia" w:eastAsia="方正仿宋_GBK" w:cs="Times New Roman"/>
          <w:b w:val="0"/>
          <w:bCs w:val="0"/>
          <w:kern w:val="28"/>
          <w:sz w:val="32"/>
          <w:szCs w:val="32"/>
          <w:lang w:val="en-US" w:eastAsia="zh-CN" w:bidi="ar-SA"/>
        </w:rPr>
        <w:t>3</w:t>
      </w:r>
      <w:r>
        <w:rPr>
          <w:rFonts w:hint="default" w:ascii="Times New Roman" w:hAnsi="Times New Roman" w:eastAsia="方正仿宋_GBK" w:cs="Times New Roman"/>
          <w:b w:val="0"/>
          <w:bCs w:val="0"/>
          <w:kern w:val="28"/>
          <w:sz w:val="32"/>
          <w:szCs w:val="32"/>
          <w:lang w:val="en-US" w:eastAsia="zh-CN" w:bidi="ar-SA"/>
        </w:rPr>
        <w:t>分</w:t>
      </w:r>
      <w:r>
        <w:rPr>
          <w:rFonts w:hint="eastAsia" w:ascii="Times New Roman" w:hAnsi="Times New Roman" w:eastAsia="方正仿宋_GBK" w:cs="Times New Roman"/>
          <w:b w:val="0"/>
          <w:bCs w:val="0"/>
          <w:kern w:val="28"/>
          <w:sz w:val="32"/>
          <w:szCs w:val="32"/>
          <w:lang w:val="en-US" w:eastAsia="zh-CN" w:bidi="ar-SA"/>
        </w:rPr>
        <w:t>。</w:t>
      </w:r>
    </w:p>
    <w:p w14:paraId="24534568">
      <w:pPr>
        <w:spacing w:line="360" w:lineRule="auto"/>
        <w:rPr>
          <w:color w:val="auto"/>
        </w:rPr>
      </w:pPr>
      <w:r>
        <w:rPr>
          <w:rFonts w:hint="eastAsia"/>
          <w:color w:val="auto"/>
        </w:rPr>
        <w:t>2、立项程序规范性</w:t>
      </w:r>
    </w:p>
    <w:p w14:paraId="6D2A1E19">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①项目按照规定的程序申请设立；</w:t>
      </w:r>
    </w:p>
    <w:p w14:paraId="15632B9E">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②审批文件、材料符合相关要求；</w:t>
      </w:r>
    </w:p>
    <w:p w14:paraId="57967341">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③事前已经过必要的可行性研究、专家论证、风险评估、绩效评估、集体决策。</w:t>
      </w:r>
    </w:p>
    <w:p w14:paraId="61AE7067">
      <w:pPr>
        <w:spacing w:line="360" w:lineRule="auto"/>
        <w:ind w:firstLine="640" w:firstLineChars="200"/>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eastAsia="方正仿宋_GBK" w:cs="Times New Roman"/>
          <w:b w:val="0"/>
          <w:bCs w:val="0"/>
          <w:kern w:val="28"/>
          <w:sz w:val="32"/>
          <w:szCs w:val="32"/>
          <w:lang w:val="en-US" w:eastAsia="zh-CN" w:bidi="ar-SA"/>
        </w:rPr>
        <w:t>3</w:t>
      </w:r>
      <w:r>
        <w:rPr>
          <w:rFonts w:hint="default" w:ascii="Times New Roman" w:hAnsi="Times New Roman" w:eastAsia="方正仿宋_GBK" w:cs="Times New Roman"/>
          <w:b w:val="0"/>
          <w:bCs w:val="0"/>
          <w:kern w:val="28"/>
          <w:sz w:val="32"/>
          <w:szCs w:val="32"/>
          <w:lang w:val="en-US" w:eastAsia="zh-CN" w:bidi="ar-SA"/>
        </w:rPr>
        <w:t>分，得分</w:t>
      </w:r>
      <w:r>
        <w:rPr>
          <w:rFonts w:hint="eastAsia" w:eastAsia="方正仿宋_GBK" w:cs="Times New Roman"/>
          <w:b w:val="0"/>
          <w:bCs w:val="0"/>
          <w:kern w:val="28"/>
          <w:sz w:val="32"/>
          <w:szCs w:val="32"/>
          <w:lang w:val="en-US" w:eastAsia="zh-CN" w:bidi="ar-SA"/>
        </w:rPr>
        <w:t>3</w:t>
      </w:r>
      <w:r>
        <w:rPr>
          <w:rFonts w:hint="default" w:ascii="Times New Roman" w:hAnsi="Times New Roman" w:eastAsia="方正仿宋_GBK" w:cs="Times New Roman"/>
          <w:b w:val="0"/>
          <w:bCs w:val="0"/>
          <w:kern w:val="28"/>
          <w:sz w:val="32"/>
          <w:szCs w:val="32"/>
          <w:lang w:val="en-US" w:eastAsia="zh-CN" w:bidi="ar-SA"/>
        </w:rPr>
        <w:t>分</w:t>
      </w:r>
    </w:p>
    <w:p w14:paraId="2380C73B">
      <w:pPr>
        <w:spacing w:line="360" w:lineRule="auto"/>
        <w:rPr>
          <w:color w:val="auto"/>
        </w:rPr>
      </w:pPr>
      <w:r>
        <w:rPr>
          <w:rFonts w:hint="eastAsia"/>
          <w:color w:val="auto"/>
        </w:rPr>
        <w:t>3、绩效目标合理性</w:t>
      </w:r>
    </w:p>
    <w:p w14:paraId="46305619">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①项目有绩效目标；</w:t>
      </w:r>
    </w:p>
    <w:p w14:paraId="6B46723E">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②项目绩效目标与实际工作内容具有相关性；</w:t>
      </w:r>
    </w:p>
    <w:p w14:paraId="5D3D37BA">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③项目预期产出效益和效果符合正常的业绩水平；</w:t>
      </w:r>
    </w:p>
    <w:p w14:paraId="5083B6F4">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④是否与预算确定的项目投资额或资金量相匹配。</w:t>
      </w:r>
    </w:p>
    <w:p w14:paraId="6396054D">
      <w:pPr>
        <w:spacing w:line="360" w:lineRule="auto"/>
        <w:ind w:firstLine="640" w:firstLineChars="200"/>
        <w:rPr>
          <w:color w:val="auto"/>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eastAsia="方正仿宋_GBK" w:cs="Times New Roman"/>
          <w:b w:val="0"/>
          <w:bCs w:val="0"/>
          <w:kern w:val="28"/>
          <w:sz w:val="32"/>
          <w:szCs w:val="32"/>
          <w:lang w:val="en-US" w:eastAsia="zh-CN" w:bidi="ar-SA"/>
        </w:rPr>
        <w:t>3</w:t>
      </w:r>
      <w:r>
        <w:rPr>
          <w:rFonts w:hint="default" w:ascii="Times New Roman" w:hAnsi="Times New Roman" w:eastAsia="方正仿宋_GBK" w:cs="Times New Roman"/>
          <w:b w:val="0"/>
          <w:bCs w:val="0"/>
          <w:kern w:val="28"/>
          <w:sz w:val="32"/>
          <w:szCs w:val="32"/>
          <w:lang w:val="en-US" w:eastAsia="zh-CN" w:bidi="ar-SA"/>
        </w:rPr>
        <w:t>分，得分</w:t>
      </w:r>
      <w:r>
        <w:rPr>
          <w:rFonts w:hint="eastAsia" w:eastAsia="方正仿宋_GBK" w:cs="Times New Roman"/>
          <w:b w:val="0"/>
          <w:bCs w:val="0"/>
          <w:kern w:val="28"/>
          <w:sz w:val="32"/>
          <w:szCs w:val="32"/>
          <w:lang w:val="en-US" w:eastAsia="zh-CN" w:bidi="ar-SA"/>
        </w:rPr>
        <w:t>3</w:t>
      </w:r>
      <w:r>
        <w:rPr>
          <w:rFonts w:hint="default" w:ascii="Times New Roman" w:hAnsi="Times New Roman" w:eastAsia="方正仿宋_GBK" w:cs="Times New Roman"/>
          <w:b w:val="0"/>
          <w:bCs w:val="0"/>
          <w:kern w:val="28"/>
          <w:sz w:val="32"/>
          <w:szCs w:val="32"/>
          <w:lang w:val="en-US" w:eastAsia="zh-CN" w:bidi="ar-SA"/>
        </w:rPr>
        <w:t>分</w:t>
      </w:r>
      <w:r>
        <w:rPr>
          <w:rFonts w:hint="eastAsia"/>
          <w:color w:val="auto"/>
        </w:rPr>
        <w:t>。</w:t>
      </w:r>
    </w:p>
    <w:p w14:paraId="38CAB53E">
      <w:pPr>
        <w:spacing w:line="360" w:lineRule="auto"/>
        <w:rPr>
          <w:color w:val="auto"/>
        </w:rPr>
      </w:pPr>
      <w:r>
        <w:rPr>
          <w:rFonts w:hint="eastAsia"/>
          <w:color w:val="auto"/>
        </w:rPr>
        <w:t>4、绩效指标明确性</w:t>
      </w:r>
    </w:p>
    <w:p w14:paraId="09CA8F1E">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bookmarkStart w:id="12" w:name="_Hlk68699917"/>
      <w:r>
        <w:rPr>
          <w:rFonts w:hint="default" w:ascii="Times New Roman" w:hAnsi="Times New Roman" w:eastAsia="方正仿宋_GBK" w:cs="Times New Roman"/>
          <w:b w:val="0"/>
          <w:bCs w:val="0"/>
          <w:kern w:val="28"/>
          <w:sz w:val="32"/>
          <w:szCs w:val="32"/>
          <w:lang w:val="en-US" w:eastAsia="zh-CN" w:bidi="ar-SA"/>
        </w:rPr>
        <w:t>①项目绩效目标细化分解为具体的绩效指标；</w:t>
      </w:r>
    </w:p>
    <w:p w14:paraId="75C992C0">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②通过清晰、可衡量的指标值予以体现；</w:t>
      </w:r>
    </w:p>
    <w:p w14:paraId="62BD7D01">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③项目目标任务数或计划数相对应。</w:t>
      </w:r>
    </w:p>
    <w:p w14:paraId="66D6142E">
      <w:pPr>
        <w:spacing w:line="360" w:lineRule="auto"/>
        <w:ind w:firstLine="640" w:firstLineChars="200"/>
        <w:rPr>
          <w:color w:val="auto"/>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eastAsia="方正仿宋_GBK" w:cs="Times New Roman"/>
          <w:b w:val="0"/>
          <w:bCs w:val="0"/>
          <w:kern w:val="28"/>
          <w:sz w:val="32"/>
          <w:szCs w:val="32"/>
          <w:lang w:val="en-US" w:eastAsia="zh-CN" w:bidi="ar-SA"/>
        </w:rPr>
        <w:t>3</w:t>
      </w:r>
      <w:r>
        <w:rPr>
          <w:rFonts w:hint="default" w:ascii="Times New Roman" w:hAnsi="Times New Roman" w:eastAsia="方正仿宋_GBK" w:cs="Times New Roman"/>
          <w:b w:val="0"/>
          <w:bCs w:val="0"/>
          <w:kern w:val="28"/>
          <w:sz w:val="32"/>
          <w:szCs w:val="32"/>
          <w:lang w:val="en-US" w:eastAsia="zh-CN" w:bidi="ar-SA"/>
        </w:rPr>
        <w:t>分，得分</w:t>
      </w:r>
      <w:r>
        <w:rPr>
          <w:rFonts w:hint="eastAsia" w:eastAsia="方正仿宋_GBK" w:cs="Times New Roman"/>
          <w:b w:val="0"/>
          <w:bCs w:val="0"/>
          <w:kern w:val="28"/>
          <w:sz w:val="32"/>
          <w:szCs w:val="32"/>
          <w:lang w:val="en-US" w:eastAsia="zh-CN" w:bidi="ar-SA"/>
        </w:rPr>
        <w:t>3</w:t>
      </w:r>
      <w:r>
        <w:rPr>
          <w:rFonts w:hint="default" w:ascii="Times New Roman" w:hAnsi="Times New Roman" w:eastAsia="方正仿宋_GBK" w:cs="Times New Roman"/>
          <w:b w:val="0"/>
          <w:bCs w:val="0"/>
          <w:kern w:val="28"/>
          <w:sz w:val="32"/>
          <w:szCs w:val="32"/>
          <w:lang w:val="en-US" w:eastAsia="zh-CN" w:bidi="ar-SA"/>
        </w:rPr>
        <w:t>分</w:t>
      </w:r>
      <w:r>
        <w:rPr>
          <w:rFonts w:hint="eastAsia"/>
          <w:color w:val="auto"/>
        </w:rPr>
        <w:t>。</w:t>
      </w:r>
      <w:bookmarkEnd w:id="12"/>
    </w:p>
    <w:p w14:paraId="0871BCB3">
      <w:pPr>
        <w:spacing w:line="360" w:lineRule="auto"/>
        <w:rPr>
          <w:color w:val="auto"/>
        </w:rPr>
      </w:pPr>
      <w:r>
        <w:rPr>
          <w:rFonts w:hint="eastAsia"/>
          <w:color w:val="auto"/>
        </w:rPr>
        <w:t>5、预算编制科学性</w:t>
      </w:r>
    </w:p>
    <w:p w14:paraId="4EBB9797">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①预算编制经过科学论证；</w:t>
      </w:r>
    </w:p>
    <w:p w14:paraId="66FA8932">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②预算内容与项目内容匹配；</w:t>
      </w:r>
    </w:p>
    <w:p w14:paraId="560E5A15">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③预算额度测算依据是否充分，按照标准编制；</w:t>
      </w:r>
    </w:p>
    <w:p w14:paraId="002D19F3">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④预算确定的项目投资额或资金量与工作任务相匹配。</w:t>
      </w:r>
    </w:p>
    <w:p w14:paraId="3BD6C8DD">
      <w:pPr>
        <w:pageBreakBefore w:val="0"/>
        <w:kinsoku/>
        <w:wordWrap/>
        <w:overflowPunct/>
        <w:topLinePunct w:val="0"/>
        <w:autoSpaceDE/>
        <w:autoSpaceDN/>
        <w:bidi w:val="0"/>
        <w:adjustRightInd/>
        <w:snapToGrid/>
        <w:spacing w:line="570" w:lineRule="exact"/>
        <w:ind w:firstLine="640" w:firstLineChars="200"/>
        <w:textAlignment w:val="auto"/>
        <w:rPr>
          <w:color w:val="auto"/>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eastAsia="方正仿宋_GBK" w:cs="Times New Roman"/>
          <w:b w:val="0"/>
          <w:bCs w:val="0"/>
          <w:kern w:val="28"/>
          <w:sz w:val="32"/>
          <w:szCs w:val="32"/>
          <w:lang w:val="en-US" w:eastAsia="zh-CN" w:bidi="ar-SA"/>
        </w:rPr>
        <w:t>3</w:t>
      </w:r>
      <w:r>
        <w:rPr>
          <w:rFonts w:hint="default" w:ascii="Times New Roman" w:hAnsi="Times New Roman" w:eastAsia="方正仿宋_GBK" w:cs="Times New Roman"/>
          <w:b w:val="0"/>
          <w:bCs w:val="0"/>
          <w:kern w:val="28"/>
          <w:sz w:val="32"/>
          <w:szCs w:val="32"/>
          <w:lang w:val="en-US" w:eastAsia="zh-CN" w:bidi="ar-SA"/>
        </w:rPr>
        <w:t>分，得分</w:t>
      </w:r>
      <w:r>
        <w:rPr>
          <w:rFonts w:hint="eastAsia" w:eastAsia="方正仿宋_GBK" w:cs="Times New Roman"/>
          <w:b w:val="0"/>
          <w:bCs w:val="0"/>
          <w:kern w:val="28"/>
          <w:sz w:val="32"/>
          <w:szCs w:val="32"/>
          <w:lang w:val="en-US" w:eastAsia="zh-CN" w:bidi="ar-SA"/>
        </w:rPr>
        <w:t>3</w:t>
      </w:r>
      <w:r>
        <w:rPr>
          <w:rFonts w:hint="default" w:ascii="Times New Roman" w:hAnsi="Times New Roman" w:eastAsia="方正仿宋_GBK" w:cs="Times New Roman"/>
          <w:b w:val="0"/>
          <w:bCs w:val="0"/>
          <w:kern w:val="28"/>
          <w:sz w:val="32"/>
          <w:szCs w:val="32"/>
          <w:lang w:val="en-US" w:eastAsia="zh-CN" w:bidi="ar-SA"/>
        </w:rPr>
        <w:t>分。</w:t>
      </w:r>
    </w:p>
    <w:p w14:paraId="46ACAF7D">
      <w:pPr>
        <w:spacing w:line="360" w:lineRule="auto"/>
        <w:rPr>
          <w:color w:val="auto"/>
        </w:rPr>
      </w:pPr>
      <w:r>
        <w:rPr>
          <w:rFonts w:hint="eastAsia"/>
          <w:color w:val="auto"/>
        </w:rPr>
        <w:t>6、资金分配合理性</w:t>
      </w:r>
    </w:p>
    <w:p w14:paraId="62D93B3D">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①预算资金分配依据充分；</w:t>
      </w:r>
    </w:p>
    <w:p w14:paraId="1737F112">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②资金分配额度合理，与项目单位或地方实际相适应。</w:t>
      </w:r>
    </w:p>
    <w:p w14:paraId="4CB00677">
      <w:pPr>
        <w:spacing w:line="360" w:lineRule="auto"/>
        <w:rPr>
          <w:color w:val="auto"/>
        </w:rPr>
      </w:pPr>
      <w:r>
        <w:rPr>
          <w:rFonts w:hint="default" w:ascii="Times New Roman" w:hAnsi="Times New Roman" w:eastAsia="方正仿宋_GBK" w:cs="Times New Roman"/>
          <w:b w:val="0"/>
          <w:bCs w:val="0"/>
          <w:kern w:val="28"/>
          <w:sz w:val="32"/>
          <w:szCs w:val="32"/>
          <w:lang w:val="en-US" w:eastAsia="zh-CN" w:bidi="ar-SA"/>
        </w:rPr>
        <w:t>此项权重分5分，得分5分。</w:t>
      </w:r>
    </w:p>
    <w:p w14:paraId="17410307">
      <w:pPr>
        <w:pStyle w:val="4"/>
        <w:spacing w:line="360" w:lineRule="auto"/>
        <w:rPr>
          <w:rFonts w:ascii="仿宋_GB2312" w:eastAsia="仿宋_GB2312"/>
          <w:b w:val="0"/>
          <w:bCs w:val="0"/>
          <w:color w:val="auto"/>
        </w:rPr>
      </w:pPr>
      <w:bookmarkStart w:id="13" w:name="_Toc68703839"/>
      <w:r>
        <w:rPr>
          <w:rFonts w:hint="eastAsia" w:ascii="仿宋_GB2312" w:eastAsia="仿宋_GB2312"/>
          <w:b w:val="0"/>
          <w:bCs w:val="0"/>
          <w:color w:val="auto"/>
        </w:rPr>
        <w:t>（二）项目过程情况。</w:t>
      </w:r>
      <w:bookmarkEnd w:id="13"/>
    </w:p>
    <w:p w14:paraId="4E2F25AE">
      <w:pPr>
        <w:spacing w:line="360" w:lineRule="auto"/>
        <w:rPr>
          <w:color w:val="auto"/>
        </w:rPr>
      </w:pPr>
      <w:r>
        <w:rPr>
          <w:rFonts w:hint="eastAsia"/>
          <w:color w:val="auto"/>
        </w:rPr>
        <w:t>1、资金到位率：</w:t>
      </w:r>
    </w:p>
    <w:p w14:paraId="5C2A739D">
      <w:pPr>
        <w:spacing w:line="360" w:lineRule="auto"/>
        <w:ind w:firstLine="600" w:firstLineChars="200"/>
        <w:rPr>
          <w:color w:val="auto"/>
        </w:rPr>
      </w:pPr>
      <w:r>
        <w:rPr>
          <w:rFonts w:hint="eastAsia"/>
          <w:color w:val="auto"/>
        </w:rPr>
        <w:t>实际到位资金</w:t>
      </w:r>
      <w:r>
        <w:rPr>
          <w:rFonts w:hint="eastAsia"/>
          <w:color w:val="auto"/>
          <w:lang w:val="en-US" w:eastAsia="zh-CN"/>
        </w:rPr>
        <w:t>80.79</w:t>
      </w:r>
      <w:r>
        <w:rPr>
          <w:rFonts w:hint="eastAsia"/>
          <w:color w:val="auto"/>
        </w:rPr>
        <w:t>万元，预算资金</w:t>
      </w:r>
      <w:r>
        <w:rPr>
          <w:rFonts w:hint="eastAsia"/>
          <w:color w:val="auto"/>
          <w:lang w:val="en-US" w:eastAsia="zh-CN"/>
        </w:rPr>
        <w:t>80.79</w:t>
      </w:r>
      <w:r>
        <w:rPr>
          <w:rFonts w:hint="eastAsia"/>
          <w:color w:val="auto"/>
        </w:rPr>
        <w:t>万元，资金到位率</w:t>
      </w:r>
      <w:r>
        <w:rPr>
          <w:rFonts w:hint="eastAsia"/>
          <w:color w:val="auto"/>
          <w:lang w:val="en-US" w:eastAsia="zh-CN"/>
        </w:rPr>
        <w:t>100</w:t>
      </w:r>
      <w:r>
        <w:rPr>
          <w:rFonts w:hint="eastAsia"/>
          <w:color w:val="auto"/>
        </w:rPr>
        <w:t>%</w:t>
      </w:r>
    </w:p>
    <w:p w14:paraId="63283390">
      <w:pPr>
        <w:spacing w:line="360" w:lineRule="auto"/>
        <w:ind w:firstLine="640" w:firstLineChars="200"/>
        <w:rPr>
          <w:rFonts w:hint="eastAsia"/>
          <w:color w:val="auto"/>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ascii="Times New Roman" w:hAnsi="Times New Roman" w:eastAsia="方正仿宋_GBK" w:cs="Times New Roman"/>
          <w:b w:val="0"/>
          <w:bCs w:val="0"/>
          <w:kern w:val="28"/>
          <w:sz w:val="32"/>
          <w:szCs w:val="32"/>
          <w:lang w:val="en-US" w:eastAsia="zh-CN" w:bidi="ar-SA"/>
        </w:rPr>
        <w:t>4</w:t>
      </w:r>
      <w:r>
        <w:rPr>
          <w:rFonts w:hint="default" w:ascii="Times New Roman" w:hAnsi="Times New Roman" w:eastAsia="方正仿宋_GBK" w:cs="Times New Roman"/>
          <w:b w:val="0"/>
          <w:bCs w:val="0"/>
          <w:kern w:val="28"/>
          <w:sz w:val="32"/>
          <w:szCs w:val="32"/>
          <w:lang w:val="en-US" w:eastAsia="zh-CN" w:bidi="ar-SA"/>
        </w:rPr>
        <w:t>分，得分</w:t>
      </w:r>
      <w:r>
        <w:rPr>
          <w:rFonts w:hint="eastAsia" w:ascii="Times New Roman" w:hAnsi="Times New Roman" w:eastAsia="方正仿宋_GBK" w:cs="Times New Roman"/>
          <w:b w:val="0"/>
          <w:bCs w:val="0"/>
          <w:kern w:val="28"/>
          <w:sz w:val="32"/>
          <w:szCs w:val="32"/>
          <w:lang w:val="en-US" w:eastAsia="zh-CN" w:bidi="ar-SA"/>
        </w:rPr>
        <w:t>4</w:t>
      </w:r>
      <w:r>
        <w:rPr>
          <w:rFonts w:hint="default" w:ascii="Times New Roman" w:hAnsi="Times New Roman" w:eastAsia="方正仿宋_GBK" w:cs="Times New Roman"/>
          <w:b w:val="0"/>
          <w:bCs w:val="0"/>
          <w:kern w:val="28"/>
          <w:sz w:val="32"/>
          <w:szCs w:val="32"/>
          <w:lang w:val="en-US" w:eastAsia="zh-CN" w:bidi="ar-SA"/>
        </w:rPr>
        <w:t>分。</w:t>
      </w:r>
    </w:p>
    <w:p w14:paraId="00BDDD77">
      <w:pPr>
        <w:spacing w:line="360" w:lineRule="auto"/>
        <w:rPr>
          <w:color w:val="auto"/>
        </w:rPr>
      </w:pPr>
      <w:r>
        <w:rPr>
          <w:rFonts w:hint="eastAsia"/>
          <w:color w:val="auto"/>
        </w:rPr>
        <w:t>2、预算执行率</w:t>
      </w:r>
    </w:p>
    <w:p w14:paraId="4743E929">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80.79</w:t>
      </w:r>
      <w:r>
        <w:rPr>
          <w:rFonts w:hint="eastAsia"/>
          <w:color w:val="auto"/>
        </w:rPr>
        <w:t>万元，全年预算数</w:t>
      </w:r>
      <w:r>
        <w:rPr>
          <w:rFonts w:hint="eastAsia"/>
          <w:color w:val="auto"/>
          <w:lang w:val="en-US" w:eastAsia="zh-CN"/>
        </w:rPr>
        <w:t>80.79</w:t>
      </w:r>
      <w:r>
        <w:rPr>
          <w:rFonts w:hint="eastAsia"/>
          <w:color w:val="auto"/>
        </w:rPr>
        <w:t xml:space="preserve">万元，全年执行数 </w:t>
      </w:r>
      <w:r>
        <w:rPr>
          <w:color w:val="auto"/>
        </w:rPr>
        <w:t xml:space="preserve">    </w:t>
      </w:r>
      <w:r>
        <w:rPr>
          <w:rFonts w:hint="eastAsia"/>
          <w:color w:val="auto"/>
          <w:lang w:val="en-US" w:eastAsia="zh-CN"/>
        </w:rPr>
        <w:t>80.79</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eastAsia="zh-CN"/>
        </w:rPr>
        <w:t>。</w:t>
      </w:r>
    </w:p>
    <w:p w14:paraId="1C80757D">
      <w:pPr>
        <w:spacing w:line="360" w:lineRule="auto"/>
        <w:ind w:firstLine="640" w:firstLineChars="200"/>
        <w:rPr>
          <w:rFonts w:hint="eastAsia"/>
          <w:color w:val="auto"/>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ascii="Times New Roman" w:hAnsi="Times New Roman" w:eastAsia="方正仿宋_GBK" w:cs="Times New Roman"/>
          <w:b w:val="0"/>
          <w:bCs w:val="0"/>
          <w:kern w:val="28"/>
          <w:sz w:val="32"/>
          <w:szCs w:val="32"/>
          <w:lang w:val="en-US" w:eastAsia="zh-CN" w:bidi="ar-SA"/>
        </w:rPr>
        <w:t>4</w:t>
      </w:r>
      <w:r>
        <w:rPr>
          <w:rFonts w:hint="default" w:ascii="Times New Roman" w:hAnsi="Times New Roman" w:eastAsia="方正仿宋_GBK" w:cs="Times New Roman"/>
          <w:b w:val="0"/>
          <w:bCs w:val="0"/>
          <w:kern w:val="28"/>
          <w:sz w:val="32"/>
          <w:szCs w:val="32"/>
          <w:lang w:val="en-US" w:eastAsia="zh-CN" w:bidi="ar-SA"/>
        </w:rPr>
        <w:t>分，得分</w:t>
      </w:r>
      <w:r>
        <w:rPr>
          <w:rFonts w:hint="eastAsia" w:ascii="Times New Roman" w:hAnsi="Times New Roman" w:eastAsia="方正仿宋_GBK" w:cs="Times New Roman"/>
          <w:b w:val="0"/>
          <w:bCs w:val="0"/>
          <w:kern w:val="28"/>
          <w:sz w:val="32"/>
          <w:szCs w:val="32"/>
          <w:lang w:val="en-US" w:eastAsia="zh-CN" w:bidi="ar-SA"/>
        </w:rPr>
        <w:t>4</w:t>
      </w:r>
      <w:r>
        <w:rPr>
          <w:rFonts w:hint="default" w:ascii="Times New Roman" w:hAnsi="Times New Roman" w:eastAsia="方正仿宋_GBK" w:cs="Times New Roman"/>
          <w:b w:val="0"/>
          <w:bCs w:val="0"/>
          <w:kern w:val="28"/>
          <w:sz w:val="32"/>
          <w:szCs w:val="32"/>
          <w:lang w:val="en-US" w:eastAsia="zh-CN" w:bidi="ar-SA"/>
        </w:rPr>
        <w:t>分。</w:t>
      </w:r>
    </w:p>
    <w:p w14:paraId="09F17E8A">
      <w:pPr>
        <w:spacing w:line="360" w:lineRule="auto"/>
        <w:rPr>
          <w:color w:val="auto"/>
        </w:rPr>
      </w:pPr>
      <w:r>
        <w:rPr>
          <w:rFonts w:hint="eastAsia"/>
          <w:color w:val="auto"/>
        </w:rPr>
        <w:t>3、资金使用合规性</w:t>
      </w:r>
    </w:p>
    <w:p w14:paraId="499A9625">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①符合国家财经法规和财务管理制度以及有关专项资金管理办法的规定；</w:t>
      </w:r>
    </w:p>
    <w:p w14:paraId="5C35D142">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②资金的拨付有完整的审批程序和手续；</w:t>
      </w:r>
    </w:p>
    <w:p w14:paraId="1DEC3998">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③符合项目预算批复或合同规定的用途；</w:t>
      </w:r>
    </w:p>
    <w:p w14:paraId="3B5C8C88">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④未存在截留、挤占、挪用、虚列支出等情况。</w:t>
      </w:r>
    </w:p>
    <w:p w14:paraId="28945FDA">
      <w:pPr>
        <w:spacing w:line="360" w:lineRule="auto"/>
        <w:ind w:firstLine="640" w:firstLineChars="200"/>
        <w:rPr>
          <w:rFonts w:hint="eastAsia"/>
          <w:color w:val="auto"/>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ascii="Times New Roman" w:hAnsi="Times New Roman" w:eastAsia="方正仿宋_GBK" w:cs="Times New Roman"/>
          <w:b w:val="0"/>
          <w:bCs w:val="0"/>
          <w:kern w:val="28"/>
          <w:sz w:val="32"/>
          <w:szCs w:val="32"/>
          <w:lang w:val="en-US" w:eastAsia="zh-CN" w:bidi="ar-SA"/>
        </w:rPr>
        <w:t>4</w:t>
      </w:r>
      <w:r>
        <w:rPr>
          <w:rFonts w:hint="default" w:ascii="Times New Roman" w:hAnsi="Times New Roman" w:eastAsia="方正仿宋_GBK" w:cs="Times New Roman"/>
          <w:b w:val="0"/>
          <w:bCs w:val="0"/>
          <w:kern w:val="28"/>
          <w:sz w:val="32"/>
          <w:szCs w:val="32"/>
          <w:lang w:val="en-US" w:eastAsia="zh-CN" w:bidi="ar-SA"/>
        </w:rPr>
        <w:t>分，得分</w:t>
      </w:r>
      <w:r>
        <w:rPr>
          <w:rFonts w:hint="eastAsia" w:ascii="Times New Roman" w:hAnsi="Times New Roman" w:eastAsia="方正仿宋_GBK" w:cs="Times New Roman"/>
          <w:b w:val="0"/>
          <w:bCs w:val="0"/>
          <w:kern w:val="28"/>
          <w:sz w:val="32"/>
          <w:szCs w:val="32"/>
          <w:lang w:val="en-US" w:eastAsia="zh-CN" w:bidi="ar-SA"/>
        </w:rPr>
        <w:t>4</w:t>
      </w:r>
      <w:r>
        <w:rPr>
          <w:rFonts w:hint="default" w:ascii="Times New Roman" w:hAnsi="Times New Roman" w:eastAsia="方正仿宋_GBK" w:cs="Times New Roman"/>
          <w:b w:val="0"/>
          <w:bCs w:val="0"/>
          <w:kern w:val="28"/>
          <w:sz w:val="32"/>
          <w:szCs w:val="32"/>
          <w:lang w:val="en-US" w:eastAsia="zh-CN" w:bidi="ar-SA"/>
        </w:rPr>
        <w:t>分。</w:t>
      </w:r>
    </w:p>
    <w:p w14:paraId="0A42D539">
      <w:pPr>
        <w:spacing w:line="360" w:lineRule="auto"/>
        <w:rPr>
          <w:color w:val="auto"/>
        </w:rPr>
      </w:pPr>
      <w:r>
        <w:rPr>
          <w:rFonts w:hint="eastAsia"/>
          <w:color w:val="auto"/>
        </w:rPr>
        <w:t>4、管理制度健全性</w:t>
      </w:r>
    </w:p>
    <w:p w14:paraId="720038C7">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①已制定或具有相应的财务和业务管理制度；</w:t>
      </w:r>
    </w:p>
    <w:p w14:paraId="0E0D460B">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②财务和业务管理制度合法、合规、完整。</w:t>
      </w:r>
    </w:p>
    <w:p w14:paraId="18E49FCC">
      <w:pPr>
        <w:spacing w:line="360" w:lineRule="auto"/>
        <w:ind w:firstLine="640" w:firstLineChars="200"/>
        <w:rPr>
          <w:rFonts w:hint="eastAsia"/>
          <w:color w:val="auto"/>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ascii="Times New Roman" w:hAnsi="Times New Roman" w:eastAsia="方正仿宋_GBK" w:cs="Times New Roman"/>
          <w:b w:val="0"/>
          <w:bCs w:val="0"/>
          <w:kern w:val="28"/>
          <w:sz w:val="32"/>
          <w:szCs w:val="32"/>
          <w:lang w:val="en-US" w:eastAsia="zh-CN" w:bidi="ar-SA"/>
        </w:rPr>
        <w:t>4</w:t>
      </w:r>
      <w:r>
        <w:rPr>
          <w:rFonts w:hint="default" w:ascii="Times New Roman" w:hAnsi="Times New Roman" w:eastAsia="方正仿宋_GBK" w:cs="Times New Roman"/>
          <w:b w:val="0"/>
          <w:bCs w:val="0"/>
          <w:kern w:val="28"/>
          <w:sz w:val="32"/>
          <w:szCs w:val="32"/>
          <w:lang w:val="en-US" w:eastAsia="zh-CN" w:bidi="ar-SA"/>
        </w:rPr>
        <w:t>分，得分</w:t>
      </w:r>
      <w:r>
        <w:rPr>
          <w:rFonts w:hint="eastAsia" w:ascii="Times New Roman" w:hAnsi="Times New Roman" w:eastAsia="方正仿宋_GBK" w:cs="Times New Roman"/>
          <w:b w:val="0"/>
          <w:bCs w:val="0"/>
          <w:kern w:val="28"/>
          <w:sz w:val="32"/>
          <w:szCs w:val="32"/>
          <w:lang w:val="en-US" w:eastAsia="zh-CN" w:bidi="ar-SA"/>
        </w:rPr>
        <w:t>4</w:t>
      </w:r>
      <w:r>
        <w:rPr>
          <w:rFonts w:hint="default" w:ascii="Times New Roman" w:hAnsi="Times New Roman" w:eastAsia="方正仿宋_GBK" w:cs="Times New Roman"/>
          <w:b w:val="0"/>
          <w:bCs w:val="0"/>
          <w:kern w:val="28"/>
          <w:sz w:val="32"/>
          <w:szCs w:val="32"/>
          <w:lang w:val="en-US" w:eastAsia="zh-CN" w:bidi="ar-SA"/>
        </w:rPr>
        <w:t>分。</w:t>
      </w:r>
    </w:p>
    <w:p w14:paraId="23CFCC91">
      <w:pPr>
        <w:spacing w:line="360" w:lineRule="auto"/>
        <w:rPr>
          <w:color w:val="auto"/>
        </w:rPr>
      </w:pPr>
      <w:r>
        <w:rPr>
          <w:rFonts w:hint="eastAsia"/>
          <w:color w:val="auto"/>
        </w:rPr>
        <w:t>5、制度执行有效性</w:t>
      </w:r>
    </w:p>
    <w:p w14:paraId="759A7ADD">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eastAsia" w:ascii="Times New Roman" w:hAnsi="Times New Roman" w:eastAsia="方正仿宋_GBK" w:cs="Times New Roman"/>
          <w:b w:val="0"/>
          <w:bCs w:val="0"/>
          <w:kern w:val="28"/>
          <w:sz w:val="32"/>
          <w:szCs w:val="32"/>
          <w:lang w:val="en-US" w:eastAsia="zh-CN" w:bidi="ar-SA"/>
        </w:rPr>
        <w:t>①遵守相关法律法规和相关管理规定；</w:t>
      </w:r>
    </w:p>
    <w:p w14:paraId="79C230C0">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eastAsia" w:ascii="Times New Roman" w:hAnsi="Times New Roman" w:eastAsia="方正仿宋_GBK" w:cs="Times New Roman"/>
          <w:b w:val="0"/>
          <w:bCs w:val="0"/>
          <w:kern w:val="28"/>
          <w:sz w:val="32"/>
          <w:szCs w:val="32"/>
          <w:lang w:val="en-US" w:eastAsia="zh-CN" w:bidi="ar-SA"/>
        </w:rPr>
        <w:t>②项目调整及支出调整手续已完备；</w:t>
      </w:r>
    </w:p>
    <w:p w14:paraId="2AB766BA">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eastAsia" w:ascii="Times New Roman" w:hAnsi="Times New Roman" w:eastAsia="方正仿宋_GBK" w:cs="Times New Roman"/>
          <w:b w:val="0"/>
          <w:bCs w:val="0"/>
          <w:kern w:val="28"/>
          <w:sz w:val="32"/>
          <w:szCs w:val="32"/>
          <w:lang w:val="en-US" w:eastAsia="zh-CN" w:bidi="ar-SA"/>
        </w:rPr>
        <w:t>③项目合同书、验收报告、技术鉴定等资料齐全并及时归档；</w:t>
      </w:r>
    </w:p>
    <w:p w14:paraId="7EFBE2ED">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eastAsia" w:ascii="Times New Roman" w:hAnsi="Times New Roman" w:eastAsia="方正仿宋_GBK" w:cs="Times New Roman"/>
          <w:b w:val="0"/>
          <w:bCs w:val="0"/>
          <w:kern w:val="28"/>
          <w:sz w:val="32"/>
          <w:szCs w:val="32"/>
          <w:lang w:val="en-US" w:eastAsia="zh-CN" w:bidi="ar-SA"/>
        </w:rPr>
        <w:t>④项目实施的人员条件、场地设备、信息支撑等已落实到位。</w:t>
      </w:r>
    </w:p>
    <w:p w14:paraId="6AA46863">
      <w:pPr>
        <w:spacing w:line="360" w:lineRule="auto"/>
        <w:ind w:firstLine="640" w:firstLineChars="200"/>
        <w:rPr>
          <w:rFonts w:hint="eastAsia" w:ascii="仿宋_GB2312" w:eastAsia="仿宋_GB2312"/>
          <w:b w:val="0"/>
          <w:bCs w:val="0"/>
          <w:color w:val="auto"/>
        </w:rPr>
      </w:pPr>
      <w:bookmarkStart w:id="14" w:name="_Toc68703840"/>
      <w:r>
        <w:rPr>
          <w:rFonts w:hint="default" w:ascii="Times New Roman" w:hAnsi="Times New Roman" w:eastAsia="方正仿宋_GBK" w:cs="Times New Roman"/>
          <w:b w:val="0"/>
          <w:bCs w:val="0"/>
          <w:kern w:val="28"/>
          <w:sz w:val="32"/>
          <w:szCs w:val="32"/>
          <w:lang w:val="en-US" w:eastAsia="zh-CN" w:bidi="ar-SA"/>
        </w:rPr>
        <w:t>此项权重分</w:t>
      </w:r>
      <w:r>
        <w:rPr>
          <w:rFonts w:hint="eastAsia" w:ascii="Times New Roman" w:hAnsi="Times New Roman" w:eastAsia="方正仿宋_GBK" w:cs="Times New Roman"/>
          <w:b w:val="0"/>
          <w:bCs w:val="0"/>
          <w:kern w:val="28"/>
          <w:sz w:val="32"/>
          <w:szCs w:val="32"/>
          <w:lang w:val="en-US" w:eastAsia="zh-CN" w:bidi="ar-SA"/>
        </w:rPr>
        <w:t>4</w:t>
      </w:r>
      <w:r>
        <w:rPr>
          <w:rFonts w:hint="default" w:ascii="Times New Roman" w:hAnsi="Times New Roman" w:eastAsia="方正仿宋_GBK" w:cs="Times New Roman"/>
          <w:b w:val="0"/>
          <w:bCs w:val="0"/>
          <w:kern w:val="28"/>
          <w:sz w:val="32"/>
          <w:szCs w:val="32"/>
          <w:lang w:val="en-US" w:eastAsia="zh-CN" w:bidi="ar-SA"/>
        </w:rPr>
        <w:t>分，得分</w:t>
      </w:r>
      <w:r>
        <w:rPr>
          <w:rFonts w:hint="eastAsia" w:ascii="Times New Roman" w:hAnsi="Times New Roman" w:eastAsia="方正仿宋_GBK" w:cs="Times New Roman"/>
          <w:b w:val="0"/>
          <w:bCs w:val="0"/>
          <w:kern w:val="28"/>
          <w:sz w:val="32"/>
          <w:szCs w:val="32"/>
          <w:lang w:val="en-US" w:eastAsia="zh-CN" w:bidi="ar-SA"/>
        </w:rPr>
        <w:t>4</w:t>
      </w:r>
      <w:r>
        <w:rPr>
          <w:rFonts w:hint="default" w:ascii="Times New Roman" w:hAnsi="Times New Roman" w:eastAsia="方正仿宋_GBK" w:cs="Times New Roman"/>
          <w:b w:val="0"/>
          <w:bCs w:val="0"/>
          <w:kern w:val="28"/>
          <w:sz w:val="32"/>
          <w:szCs w:val="32"/>
          <w:lang w:val="en-US" w:eastAsia="zh-CN" w:bidi="ar-SA"/>
        </w:rPr>
        <w:t>分。</w:t>
      </w:r>
    </w:p>
    <w:p w14:paraId="08D5CDA2">
      <w:pPr>
        <w:pStyle w:val="4"/>
        <w:spacing w:line="360" w:lineRule="auto"/>
        <w:rPr>
          <w:rFonts w:ascii="仿宋_GB2312" w:eastAsia="仿宋_GB2312"/>
          <w:b w:val="0"/>
          <w:bCs w:val="0"/>
          <w:color w:val="auto"/>
        </w:rPr>
      </w:pPr>
      <w:r>
        <w:rPr>
          <w:rFonts w:hint="eastAsia" w:ascii="仿宋_GB2312" w:eastAsia="仿宋_GB2312"/>
          <w:b w:val="0"/>
          <w:bCs w:val="0"/>
          <w:color w:val="auto"/>
        </w:rPr>
        <w:t>（三）项目产出情况。</w:t>
      </w:r>
      <w:bookmarkEnd w:id="14"/>
    </w:p>
    <w:p w14:paraId="17FDC529">
      <w:pPr>
        <w:spacing w:line="360" w:lineRule="auto"/>
        <w:ind w:firstLine="600" w:firstLineChars="200"/>
        <w:rPr>
          <w:color w:val="auto"/>
        </w:rPr>
      </w:pPr>
      <w:r>
        <w:rPr>
          <w:rFonts w:hint="eastAsia"/>
          <w:color w:val="auto"/>
        </w:rPr>
        <w:t>1、数量指标：指标1：发放志愿者生活补贴人数，指标值：＞＝29人，实际完成值＝29人，指标完成率</w:t>
      </w:r>
      <w:r>
        <w:rPr>
          <w:rFonts w:hint="eastAsia"/>
          <w:color w:val="auto"/>
          <w:lang w:val="en-US" w:eastAsia="zh-CN"/>
        </w:rPr>
        <w:t>100</w:t>
      </w:r>
      <w:r>
        <w:rPr>
          <w:rFonts w:hint="eastAsia"/>
          <w:color w:val="auto"/>
        </w:rPr>
        <w:t>%。</w:t>
      </w:r>
    </w:p>
    <w:p w14:paraId="256008F0">
      <w:pPr>
        <w:spacing w:line="360" w:lineRule="auto"/>
        <w:ind w:firstLine="640" w:firstLineChars="200"/>
        <w:rPr>
          <w:color w:val="auto"/>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分，得分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w:t>
      </w:r>
    </w:p>
    <w:p w14:paraId="6A338656">
      <w:pPr>
        <w:spacing w:line="360" w:lineRule="auto"/>
        <w:ind w:firstLine="600" w:firstLineChars="200"/>
        <w:rPr>
          <w:rFonts w:hint="eastAsia"/>
          <w:color w:val="auto"/>
        </w:rPr>
      </w:pPr>
      <w:r>
        <w:rPr>
          <w:color w:val="auto"/>
        </w:rPr>
        <w:t>2</w:t>
      </w:r>
      <w:r>
        <w:rPr>
          <w:rFonts w:hint="eastAsia"/>
          <w:color w:val="auto"/>
        </w:rPr>
        <w:t>、质量指标：指标1：发放志愿者基本生活补贴覆盖率，指标值：100%，实际完成值100%，指标完成率100%；指标2：发放志愿者社保覆盖率，指标值：100%，实际完成值100%，指标完成率100%。</w:t>
      </w:r>
    </w:p>
    <w:p w14:paraId="403F8B0D">
      <w:pPr>
        <w:spacing w:line="360" w:lineRule="auto"/>
        <w:ind w:firstLine="640" w:firstLineChars="200"/>
        <w:rPr>
          <w:rFonts w:hint="eastAsia"/>
          <w:color w:val="auto"/>
          <w:lang w:val="en-US" w:eastAsia="zh-CN"/>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分，得分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w:t>
      </w:r>
    </w:p>
    <w:p w14:paraId="59C9D1F2">
      <w:pPr>
        <w:pStyle w:val="9"/>
        <w:rPr>
          <w:rFonts w:hint="eastAsia" w:eastAsia="仿宋_GB2312" w:cs="Times New Roman"/>
          <w:color w:val="auto"/>
          <w:kern w:val="2"/>
          <w:sz w:val="30"/>
          <w:szCs w:val="24"/>
          <w:lang w:val="en-US" w:eastAsia="zh-CN" w:bidi="ar-SA"/>
        </w:rPr>
      </w:pPr>
      <w:r>
        <w:rPr>
          <w:rFonts w:hint="eastAsia"/>
          <w:color w:val="auto"/>
          <w:lang w:val="en-US" w:eastAsia="zh-CN"/>
        </w:rPr>
        <w:t>3、</w:t>
      </w:r>
      <w:r>
        <w:rPr>
          <w:rFonts w:hint="eastAsia" w:ascii="Times New Roman" w:hAnsi="Times New Roman" w:eastAsia="仿宋_GB2312" w:cs="Times New Roman"/>
          <w:color w:val="auto"/>
          <w:kern w:val="2"/>
          <w:sz w:val="30"/>
          <w:szCs w:val="24"/>
          <w:lang w:val="en-US" w:eastAsia="zh-CN" w:bidi="ar-SA"/>
        </w:rPr>
        <w:t>时效指标：指标1：发放志愿者基本生活补贴及时率</w:t>
      </w:r>
      <w:r>
        <w:rPr>
          <w:rFonts w:hint="eastAsia" w:eastAsia="仿宋_GB2312" w:cs="Times New Roman"/>
          <w:color w:val="auto"/>
          <w:kern w:val="2"/>
          <w:sz w:val="30"/>
          <w:szCs w:val="24"/>
          <w:lang w:val="en-US" w:eastAsia="zh-CN" w:bidi="ar-SA"/>
        </w:rPr>
        <w:t>，指标值：100%，实际完成值100%，指标完成率100%；</w:t>
      </w:r>
      <w:r>
        <w:rPr>
          <w:rFonts w:hint="eastAsia" w:ascii="Times New Roman" w:hAnsi="Times New Roman" w:eastAsia="仿宋_GB2312" w:cs="Times New Roman"/>
          <w:color w:val="auto"/>
          <w:kern w:val="2"/>
          <w:sz w:val="30"/>
          <w:szCs w:val="24"/>
          <w:lang w:val="en-US" w:eastAsia="zh-CN" w:bidi="ar-SA"/>
        </w:rPr>
        <w:t>指标</w:t>
      </w:r>
      <w:r>
        <w:rPr>
          <w:rFonts w:hint="eastAsia" w:eastAsia="仿宋_GB2312" w:cs="Times New Roman"/>
          <w:color w:val="auto"/>
          <w:kern w:val="2"/>
          <w:sz w:val="30"/>
          <w:szCs w:val="24"/>
          <w:lang w:val="en-US" w:eastAsia="zh-CN" w:bidi="ar-SA"/>
        </w:rPr>
        <w:t>2</w:t>
      </w:r>
      <w:r>
        <w:rPr>
          <w:rFonts w:hint="eastAsia" w:ascii="Times New Roman" w:hAnsi="Times New Roman" w:eastAsia="仿宋_GB2312" w:cs="Times New Roman"/>
          <w:color w:val="auto"/>
          <w:kern w:val="2"/>
          <w:sz w:val="30"/>
          <w:szCs w:val="24"/>
          <w:lang w:val="en-US" w:eastAsia="zh-CN" w:bidi="ar-SA"/>
        </w:rPr>
        <w:t>：发放志愿者</w:t>
      </w:r>
      <w:r>
        <w:rPr>
          <w:rFonts w:hint="eastAsia" w:eastAsia="仿宋_GB2312" w:cs="Times New Roman"/>
          <w:color w:val="auto"/>
          <w:kern w:val="2"/>
          <w:sz w:val="30"/>
          <w:szCs w:val="24"/>
          <w:lang w:val="en-US" w:eastAsia="zh-CN" w:bidi="ar-SA"/>
        </w:rPr>
        <w:t>社保</w:t>
      </w:r>
      <w:r>
        <w:rPr>
          <w:rFonts w:hint="eastAsia" w:ascii="Times New Roman" w:hAnsi="Times New Roman" w:eastAsia="仿宋_GB2312" w:cs="Times New Roman"/>
          <w:color w:val="auto"/>
          <w:kern w:val="2"/>
          <w:sz w:val="30"/>
          <w:szCs w:val="24"/>
          <w:lang w:val="en-US" w:eastAsia="zh-CN" w:bidi="ar-SA"/>
        </w:rPr>
        <w:t>及时率</w:t>
      </w:r>
      <w:r>
        <w:rPr>
          <w:rFonts w:hint="eastAsia" w:eastAsia="仿宋_GB2312" w:cs="Times New Roman"/>
          <w:color w:val="auto"/>
          <w:kern w:val="2"/>
          <w:sz w:val="30"/>
          <w:szCs w:val="24"/>
          <w:lang w:val="en-US" w:eastAsia="zh-CN" w:bidi="ar-SA"/>
        </w:rPr>
        <w:t>，指标值：100%，实际完成值100%，指标完成率100%；</w:t>
      </w:r>
    </w:p>
    <w:p w14:paraId="0499B12D">
      <w:pPr>
        <w:spacing w:line="360" w:lineRule="auto"/>
        <w:ind w:firstLine="640" w:firstLineChars="200"/>
        <w:rPr>
          <w:rFonts w:hint="eastAsia"/>
          <w:lang w:val="en-US" w:eastAsia="zh-CN"/>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分，得分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w:t>
      </w:r>
    </w:p>
    <w:p w14:paraId="456ABDC9">
      <w:pPr>
        <w:ind w:firstLine="600" w:firstLineChars="200"/>
        <w:rPr>
          <w:rFonts w:hint="eastAsia"/>
          <w:lang w:val="en-US" w:eastAsia="zh-CN"/>
        </w:rPr>
      </w:pPr>
      <w:r>
        <w:rPr>
          <w:rFonts w:hint="eastAsia"/>
          <w:lang w:val="en-US" w:eastAsia="zh-CN"/>
        </w:rPr>
        <w:t>4、经济成本指标：指标1：发放志愿者基本生活补贴标准，指标值：1000元/人/月，实际完成值1000元/人/月，指标完成率100%；                    指标2：发放志愿者艰苦边远津贴标准，指标值：1870元/人/月，实际完成值1870元/人/月，指标完成率100%；</w:t>
      </w:r>
    </w:p>
    <w:p w14:paraId="2F7769CF">
      <w:pPr>
        <w:pStyle w:val="9"/>
        <w:rPr>
          <w:rFonts w:hint="eastAsia" w:eastAsia="仿宋_GB2312" w:cs="Times New Roman"/>
          <w:color w:val="auto"/>
          <w:kern w:val="2"/>
          <w:sz w:val="30"/>
          <w:szCs w:val="24"/>
          <w:lang w:val="en-US" w:eastAsia="zh-CN" w:bidi="ar-SA"/>
        </w:rPr>
      </w:pPr>
      <w:r>
        <w:rPr>
          <w:rFonts w:hint="eastAsia" w:ascii="Times New Roman" w:hAnsi="Times New Roman" w:eastAsia="仿宋_GB2312" w:cs="Times New Roman"/>
          <w:color w:val="auto"/>
          <w:kern w:val="2"/>
          <w:sz w:val="30"/>
          <w:szCs w:val="24"/>
          <w:lang w:val="en-US" w:eastAsia="zh-CN" w:bidi="ar-SA"/>
        </w:rPr>
        <w:t>指标</w:t>
      </w:r>
      <w:r>
        <w:rPr>
          <w:rFonts w:hint="eastAsia" w:eastAsia="仿宋_GB2312" w:cs="Times New Roman"/>
          <w:color w:val="auto"/>
          <w:kern w:val="2"/>
          <w:sz w:val="30"/>
          <w:szCs w:val="24"/>
          <w:lang w:val="en-US" w:eastAsia="zh-CN" w:bidi="ar-SA"/>
        </w:rPr>
        <w:t>3</w:t>
      </w:r>
      <w:r>
        <w:rPr>
          <w:rFonts w:hint="eastAsia" w:ascii="Times New Roman" w:hAnsi="Times New Roman" w:eastAsia="仿宋_GB2312" w:cs="Times New Roman"/>
          <w:color w:val="auto"/>
          <w:kern w:val="2"/>
          <w:sz w:val="30"/>
          <w:szCs w:val="24"/>
          <w:lang w:val="en-US" w:eastAsia="zh-CN" w:bidi="ar-SA"/>
        </w:rPr>
        <w:t>：发放志愿者交通补贴标准</w:t>
      </w:r>
      <w:r>
        <w:rPr>
          <w:rFonts w:hint="eastAsia" w:eastAsia="仿宋_GB2312" w:cs="Times New Roman"/>
          <w:color w:val="auto"/>
          <w:kern w:val="2"/>
          <w:sz w:val="30"/>
          <w:szCs w:val="24"/>
          <w:lang w:val="en-US" w:eastAsia="zh-CN" w:bidi="ar-SA"/>
        </w:rPr>
        <w:t>，指标值：疆内1500元/人/年，疆外2500元/人/年，实际完成值疆内1500元/人/年，疆外2500元/人/年，指标完成率100%；</w:t>
      </w:r>
    </w:p>
    <w:p w14:paraId="66508FA0">
      <w:pPr>
        <w:pStyle w:val="9"/>
        <w:rPr>
          <w:rFonts w:hint="eastAsia" w:eastAsia="仿宋_GB2312" w:cs="Times New Roman"/>
          <w:color w:val="auto"/>
          <w:kern w:val="2"/>
          <w:sz w:val="30"/>
          <w:szCs w:val="24"/>
          <w:lang w:val="en-US" w:eastAsia="zh-CN" w:bidi="ar-SA"/>
        </w:rPr>
      </w:pPr>
      <w:r>
        <w:rPr>
          <w:rFonts w:hint="eastAsia" w:ascii="Times New Roman" w:hAnsi="Times New Roman" w:eastAsia="仿宋_GB2312" w:cs="Times New Roman"/>
          <w:color w:val="auto"/>
          <w:kern w:val="2"/>
          <w:sz w:val="30"/>
          <w:szCs w:val="24"/>
          <w:lang w:val="en-US" w:eastAsia="zh-CN" w:bidi="ar-SA"/>
        </w:rPr>
        <w:t>指标</w:t>
      </w:r>
      <w:r>
        <w:rPr>
          <w:rFonts w:hint="eastAsia" w:eastAsia="仿宋_GB2312" w:cs="Times New Roman"/>
          <w:color w:val="auto"/>
          <w:kern w:val="2"/>
          <w:sz w:val="30"/>
          <w:szCs w:val="24"/>
          <w:lang w:val="en-US" w:eastAsia="zh-CN" w:bidi="ar-SA"/>
        </w:rPr>
        <w:t>4</w:t>
      </w:r>
      <w:r>
        <w:rPr>
          <w:rFonts w:hint="eastAsia" w:ascii="Times New Roman" w:hAnsi="Times New Roman" w:eastAsia="仿宋_GB2312" w:cs="Times New Roman"/>
          <w:color w:val="auto"/>
          <w:kern w:val="2"/>
          <w:sz w:val="30"/>
          <w:szCs w:val="24"/>
          <w:lang w:val="en-US" w:eastAsia="zh-CN" w:bidi="ar-SA"/>
        </w:rPr>
        <w:t>：发放志愿者社保标准</w:t>
      </w:r>
      <w:r>
        <w:rPr>
          <w:rFonts w:hint="eastAsia" w:eastAsia="仿宋_GB2312" w:cs="Times New Roman"/>
          <w:color w:val="auto"/>
          <w:kern w:val="2"/>
          <w:sz w:val="30"/>
          <w:szCs w:val="24"/>
          <w:lang w:val="en-US" w:eastAsia="zh-CN" w:bidi="ar-SA"/>
        </w:rPr>
        <w:t>，指标值：1442.49元/人/月，实际完成值1442.49元/人/月，指标完成率100%。</w:t>
      </w:r>
    </w:p>
    <w:p w14:paraId="56D0DC16">
      <w:pPr>
        <w:spacing w:line="360" w:lineRule="auto"/>
        <w:ind w:firstLine="600" w:firstLineChars="200"/>
        <w:rPr>
          <w:rFonts w:hint="eastAsia"/>
          <w:lang w:val="en-US" w:eastAsia="zh-CN"/>
        </w:rPr>
      </w:pPr>
      <w:r>
        <w:rPr>
          <w:rFonts w:hint="eastAsia"/>
          <w:lang w:val="en-US" w:eastAsia="zh-CN"/>
        </w:rPr>
        <w:tab/>
      </w:r>
      <w:r>
        <w:rPr>
          <w:rFonts w:hint="default" w:ascii="Times New Roman" w:hAnsi="Times New Roman" w:eastAsia="方正仿宋_GBK" w:cs="Times New Roman"/>
          <w:b w:val="0"/>
          <w:bCs w:val="0"/>
          <w:kern w:val="28"/>
          <w:sz w:val="32"/>
          <w:szCs w:val="32"/>
          <w:lang w:val="en-US" w:eastAsia="zh-CN" w:bidi="ar-SA"/>
        </w:rPr>
        <w:t>此项权重分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分，得分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w:t>
      </w:r>
      <w:r>
        <w:rPr>
          <w:rFonts w:hint="eastAsia" w:ascii="Times New Roman" w:hAnsi="Times New Roman" w:eastAsia="方正仿宋_GBK" w:cs="Times New Roman"/>
          <w:b w:val="0"/>
          <w:bCs w:val="0"/>
          <w:kern w:val="28"/>
          <w:sz w:val="32"/>
          <w:szCs w:val="32"/>
          <w:lang w:val="en-US" w:eastAsia="zh-CN" w:bidi="ar-SA"/>
        </w:rPr>
        <w:t>。</w:t>
      </w:r>
    </w:p>
    <w:p w14:paraId="1AA0DF6A">
      <w:pPr>
        <w:tabs>
          <w:tab w:val="left" w:pos="828"/>
        </w:tabs>
        <w:bidi w:val="0"/>
        <w:jc w:val="left"/>
        <w:rPr>
          <w:rFonts w:hint="eastAsia"/>
          <w:lang w:val="en-US" w:eastAsia="zh-CN"/>
        </w:rPr>
      </w:pPr>
      <w:r>
        <w:rPr>
          <w:rFonts w:hint="eastAsia"/>
          <w:lang w:val="en-US" w:eastAsia="zh-CN"/>
        </w:rPr>
        <w:t>5、社会效益指标：指标1：促进疆内外友好交流作用，指标值：显著提升，实际完成值显著提升，指标完成率100%；</w:t>
      </w:r>
    </w:p>
    <w:p w14:paraId="203BA0E9">
      <w:pPr>
        <w:tabs>
          <w:tab w:val="left" w:pos="828"/>
        </w:tabs>
        <w:bidi w:val="0"/>
        <w:jc w:val="left"/>
        <w:rPr>
          <w:rFonts w:hint="default"/>
          <w:lang w:val="en-US" w:eastAsia="zh-CN"/>
        </w:rPr>
      </w:pPr>
      <w:r>
        <w:rPr>
          <w:rFonts w:hint="eastAsia" w:cs="Times New Roman"/>
          <w:kern w:val="2"/>
          <w:sz w:val="30"/>
          <w:szCs w:val="24"/>
          <w:lang w:val="en-US" w:eastAsia="zh-CN" w:bidi="ar-SA"/>
        </w:rPr>
        <w:tab/>
      </w:r>
      <w:r>
        <w:rPr>
          <w:rFonts w:hint="eastAsia"/>
          <w:lang w:val="en-US" w:eastAsia="zh-CN"/>
        </w:rPr>
        <w:t>指标2：志愿者者住房保障率（%），指标值：&gt;=100%，实际完成值=100%，指标完成率100%；</w:t>
      </w:r>
    </w:p>
    <w:p w14:paraId="347CD2D2">
      <w:pPr>
        <w:spacing w:line="360" w:lineRule="auto"/>
        <w:ind w:firstLine="640" w:firstLineChars="200"/>
        <w:rPr>
          <w:rFonts w:hint="eastAsia" w:cs="Times New Roman"/>
          <w:kern w:val="2"/>
          <w:sz w:val="30"/>
          <w:szCs w:val="24"/>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分，得分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w:t>
      </w:r>
    </w:p>
    <w:p w14:paraId="48802EBC">
      <w:pPr>
        <w:numPr>
          <w:ilvl w:val="0"/>
          <w:numId w:val="2"/>
        </w:numPr>
        <w:tabs>
          <w:tab w:val="left" w:pos="942"/>
        </w:tabs>
        <w:bidi w:val="0"/>
        <w:ind w:firstLine="600" w:firstLineChars="200"/>
        <w:jc w:val="left"/>
        <w:rPr>
          <w:rFonts w:hint="eastAsia"/>
          <w:lang w:val="en-US" w:eastAsia="zh-CN"/>
        </w:rPr>
      </w:pPr>
      <w:r>
        <w:rPr>
          <w:rFonts w:hint="eastAsia" w:cs="Times New Roman"/>
          <w:kern w:val="2"/>
          <w:sz w:val="30"/>
          <w:szCs w:val="24"/>
          <w:lang w:val="en-US" w:eastAsia="zh-CN" w:bidi="ar-SA"/>
        </w:rPr>
        <w:t>满意度指标：</w:t>
      </w:r>
      <w:r>
        <w:rPr>
          <w:rFonts w:hint="eastAsia"/>
          <w:lang w:val="en-US" w:eastAsia="zh-CN"/>
        </w:rPr>
        <w:t>指标1：志愿者的满意度，指标值：&gt;=90%，实际完成值=98%，指标完成率100%；</w:t>
      </w:r>
    </w:p>
    <w:p w14:paraId="58584155">
      <w:pPr>
        <w:spacing w:line="360" w:lineRule="auto"/>
        <w:ind w:firstLine="640" w:firstLineChars="200"/>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分，得分</w:t>
      </w:r>
      <w:r>
        <w:rPr>
          <w:rFonts w:hint="eastAsia" w:ascii="Times New Roman" w:hAnsi="Times New Roman" w:eastAsia="方正仿宋_GBK" w:cs="Times New Roman"/>
          <w:b w:val="0"/>
          <w:bCs w:val="0"/>
          <w:kern w:val="28"/>
          <w:sz w:val="32"/>
          <w:szCs w:val="32"/>
          <w:lang w:val="en-US" w:eastAsia="zh-CN" w:bidi="ar-SA"/>
        </w:rPr>
        <w:t>10</w:t>
      </w:r>
      <w:r>
        <w:rPr>
          <w:rFonts w:hint="default" w:ascii="Times New Roman" w:hAnsi="Times New Roman" w:eastAsia="方正仿宋_GBK" w:cs="Times New Roman"/>
          <w:b w:val="0"/>
          <w:bCs w:val="0"/>
          <w:kern w:val="28"/>
          <w:sz w:val="32"/>
          <w:szCs w:val="32"/>
          <w:lang w:val="en-US" w:eastAsia="zh-CN" w:bidi="ar-SA"/>
        </w:rPr>
        <w:t>分。</w:t>
      </w:r>
    </w:p>
    <w:p w14:paraId="26139545">
      <w:pPr>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67B89F8A">
      <w:pPr>
        <w:pageBreakBefore w:val="0"/>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ascii="Times New Roman" w:hAnsi="Times New Roman" w:cs="Times New Roman"/>
          <w:color w:val="auto"/>
          <w:highlight w:val="none"/>
          <w:lang w:val="en-US" w:eastAsia="zh-CN"/>
        </w:rPr>
        <w:t>2023年大学生志愿服务西部计划中央财政补助专项提前下达资金项目年初预算80.79万元，全年预算80.79万元，实际支出</w:t>
      </w:r>
      <w:r>
        <w:rPr>
          <w:rFonts w:hint="eastAsia"/>
          <w:color w:val="auto"/>
          <w:lang w:val="en-US" w:eastAsia="zh-CN"/>
        </w:rPr>
        <w:t>80.79</w:t>
      </w:r>
      <w:r>
        <w:rPr>
          <w:rFonts w:hint="eastAsia" w:ascii="Times New Roman" w:hAnsi="Times New Roman" w:cs="Times New Roman"/>
          <w:color w:val="auto"/>
          <w:highlight w:val="none"/>
          <w:lang w:val="en-US" w:eastAsia="zh-CN"/>
        </w:rPr>
        <w:t>万元，预算执行率为100%，项目绩效指标总体完成率为100%。</w:t>
      </w:r>
    </w:p>
    <w:p w14:paraId="589418BF">
      <w:pPr>
        <w:pStyle w:val="3"/>
        <w:spacing w:line="360" w:lineRule="auto"/>
        <w:rPr>
          <w:rFonts w:hint="eastAsia" w:ascii="Times New Roman" w:hAnsi="Times New Roman" w:eastAsia="仿宋_GB2312" w:cs="Times New Roman"/>
          <w:b w:val="0"/>
          <w:bCs w:val="0"/>
          <w:color w:val="auto"/>
          <w:kern w:val="2"/>
          <w:sz w:val="30"/>
          <w:szCs w:val="24"/>
          <w:highlight w:val="none"/>
          <w:lang w:val="en-US" w:eastAsia="zh-CN" w:bidi="ar-SA"/>
        </w:rPr>
      </w:pPr>
      <w:bookmarkStart w:id="15" w:name="_Toc68703842"/>
      <w:r>
        <w:rPr>
          <w:rFonts w:hint="eastAsia" w:ascii="宋体" w:hAnsi="宋体" w:eastAsia="宋体"/>
          <w:color w:val="auto"/>
          <w:sz w:val="32"/>
          <w:szCs w:val="32"/>
          <w:lang w:val="en-US" w:eastAsia="zh-CN"/>
        </w:rPr>
        <w:t>六</w:t>
      </w:r>
      <w:r>
        <w:rPr>
          <w:rFonts w:hint="eastAsia" w:ascii="Times New Roman" w:hAnsi="Times New Roman" w:eastAsia="仿宋_GB2312" w:cs="Times New Roman"/>
          <w:b w:val="0"/>
          <w:bCs w:val="0"/>
          <w:color w:val="auto"/>
          <w:kern w:val="2"/>
          <w:sz w:val="30"/>
          <w:szCs w:val="24"/>
          <w:highlight w:val="none"/>
          <w:lang w:val="en-US" w:eastAsia="zh-CN" w:bidi="ar-SA"/>
        </w:rPr>
        <w:t>、</w:t>
      </w:r>
      <w:r>
        <w:rPr>
          <w:rFonts w:hint="eastAsia" w:ascii="Times New Roman" w:hAnsi="Times New Roman" w:eastAsia="黑体" w:cs="Times New Roman"/>
          <w:b w:val="0"/>
          <w:bCs w:val="0"/>
          <w:kern w:val="2"/>
          <w:sz w:val="32"/>
          <w:szCs w:val="32"/>
          <w:lang w:val="en-US" w:eastAsia="zh-CN" w:bidi="ar-SA"/>
        </w:rPr>
        <w:t>主要经验及做法、存在的问题及原因分析</w:t>
      </w:r>
      <w:bookmarkEnd w:id="15"/>
    </w:p>
    <w:p w14:paraId="4646F910">
      <w:pPr>
        <w:ind w:firstLine="600" w:firstLineChars="200"/>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严格按照科学公正、统筹兼顾、激励约束、公开透明的绩效评价原则，对本单位预算执行情况、单位整体支出管理及使用情况、单位整体支出绩效指标完成情况等进行了综合评价。</w:t>
      </w:r>
    </w:p>
    <w:p w14:paraId="6F9579A3">
      <w:pPr>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（二）存在的问题及原因分析</w:t>
      </w:r>
    </w:p>
    <w:p w14:paraId="671776AB">
      <w:pPr>
        <w:ind w:firstLine="600" w:firstLineChars="200"/>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存在的问题：在2023年预算绩效管理工作中，存在“重投入轻管理、重支出轻绩效”的情况，对全面实施预算绩效管理的要求认识还不到位，项目申报、实施等环节与预算绩效管理各个环节联系不够紧密。</w:t>
      </w:r>
    </w:p>
    <w:p w14:paraId="41F42E13">
      <w:pPr>
        <w:ind w:firstLine="600" w:firstLineChars="200"/>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原因分析：行政事业单位会计制度和新的账务处理程序等更新换代快，需要不断加强新《预算法》、《会计法》等学习培训。</w:t>
      </w:r>
    </w:p>
    <w:p w14:paraId="6FBFE805">
      <w:pPr>
        <w:pStyle w:val="3"/>
        <w:numPr>
          <w:ilvl w:val="0"/>
          <w:numId w:val="0"/>
        </w:numPr>
        <w:spacing w:line="360" w:lineRule="auto"/>
      </w:pPr>
      <w:bookmarkStart w:id="16" w:name="_Toc68703845"/>
      <w:r>
        <w:rPr>
          <w:rFonts w:hint="eastAsia" w:ascii="宋体" w:hAnsi="宋体" w:eastAsia="宋体"/>
          <w:color w:val="auto"/>
          <w:sz w:val="32"/>
          <w:szCs w:val="32"/>
          <w:lang w:val="en-US" w:eastAsia="zh-CN"/>
        </w:rPr>
        <w:t>七、</w:t>
      </w:r>
      <w:r>
        <w:rPr>
          <w:rFonts w:hint="eastAsia" w:ascii="宋体" w:hAnsi="宋体" w:eastAsia="宋体"/>
          <w:color w:val="auto"/>
          <w:sz w:val="32"/>
          <w:szCs w:val="32"/>
        </w:rPr>
        <w:t>有关建议</w:t>
      </w:r>
      <w:bookmarkEnd w:id="16"/>
    </w:p>
    <w:p w14:paraId="3E726262">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highlight w:val="none"/>
          <w:lang w:val="en-US" w:eastAsia="zh-CN"/>
        </w:rPr>
      </w:pPr>
      <w:bookmarkStart w:id="17" w:name="_Toc68703846"/>
      <w:r>
        <w:rPr>
          <w:rFonts w:hint="default" w:ascii="Times New Roman" w:hAnsi="Times New Roman" w:cs="Times New Roman"/>
          <w:color w:val="auto"/>
          <w:highlight w:val="none"/>
          <w:lang w:val="en-US" w:eastAsia="zh-CN"/>
        </w:rPr>
        <w:t>1.多进行有关绩效管理工作方面的培训。积极组织第三方开展绩效管理工作培训，进一步夯实业务基础，提高我单位绩效人员水平。</w:t>
      </w:r>
    </w:p>
    <w:p w14:paraId="0B7E34A8">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2.专门设定对绩效工作人员定职、定岗、定责等相关制度措施，进一步提升我单位绩效管理工作业务水平，扎实做好绩效管理工作。</w:t>
      </w:r>
    </w:p>
    <w:p w14:paraId="14B9F630">
      <w:pPr>
        <w:pStyle w:val="3"/>
        <w:spacing w:line="360" w:lineRule="auto"/>
        <w:rPr>
          <w:rFonts w:ascii="宋体" w:hAnsi="宋体" w:eastAsia="宋体"/>
          <w:color w:val="auto"/>
          <w:sz w:val="32"/>
          <w:szCs w:val="32"/>
        </w:rPr>
      </w:pPr>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17"/>
    </w:p>
    <w:p w14:paraId="468F32C4">
      <w:pPr>
        <w:rPr>
          <w:color w:val="auto"/>
        </w:rPr>
      </w:pPr>
      <w:r>
        <w:rPr>
          <w:rFonts w:hint="eastAsia"/>
          <w:color w:val="auto"/>
        </w:rPr>
        <w:t>（无）</w:t>
      </w:r>
    </w:p>
    <w:p w14:paraId="1C80BBE8">
      <w:pPr>
        <w:spacing w:line="360" w:lineRule="auto"/>
        <w:rPr>
          <w:color w:val="auto"/>
        </w:rPr>
      </w:pPr>
    </w:p>
    <w:p w14:paraId="4414EE57">
      <w:pPr>
        <w:rPr>
          <w:color w:va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7C18C8"/>
    <w:multiLevelType w:val="singleLevel"/>
    <w:tmpl w:val="BA7C18C8"/>
    <w:lvl w:ilvl="0" w:tentative="0">
      <w:start w:val="6"/>
      <w:numFmt w:val="decimal"/>
      <w:suff w:val="nothing"/>
      <w:lvlText w:val="%1、"/>
      <w:lvlJc w:val="left"/>
    </w:lvl>
  </w:abstractNum>
  <w:abstractNum w:abstractNumId="1">
    <w:nsid w:val="C60B0A79"/>
    <w:multiLevelType w:val="singleLevel"/>
    <w:tmpl w:val="C60B0A79"/>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ZjY4MTZmMjdlZTdiNDk2YjE2YjM5MDdjZDkwNjQifQ=="/>
  </w:docVars>
  <w:rsids>
    <w:rsidRoot w:val="007D49C5"/>
    <w:rsid w:val="00614288"/>
    <w:rsid w:val="007D49C5"/>
    <w:rsid w:val="008C631D"/>
    <w:rsid w:val="00C62032"/>
    <w:rsid w:val="02720607"/>
    <w:rsid w:val="04A964EE"/>
    <w:rsid w:val="08695C45"/>
    <w:rsid w:val="0A5F06FD"/>
    <w:rsid w:val="0CF93669"/>
    <w:rsid w:val="0D416FFD"/>
    <w:rsid w:val="10DE18F5"/>
    <w:rsid w:val="14BD6F10"/>
    <w:rsid w:val="155C18EE"/>
    <w:rsid w:val="165E3F04"/>
    <w:rsid w:val="19660C39"/>
    <w:rsid w:val="1BEB2300"/>
    <w:rsid w:val="1C25105E"/>
    <w:rsid w:val="1D392E82"/>
    <w:rsid w:val="1DB36C76"/>
    <w:rsid w:val="1F0763B4"/>
    <w:rsid w:val="1F1908E4"/>
    <w:rsid w:val="1F7A4E62"/>
    <w:rsid w:val="22641532"/>
    <w:rsid w:val="25347008"/>
    <w:rsid w:val="25622C7F"/>
    <w:rsid w:val="25A43E35"/>
    <w:rsid w:val="275725F4"/>
    <w:rsid w:val="27997C05"/>
    <w:rsid w:val="29F5722F"/>
    <w:rsid w:val="2B6C0A52"/>
    <w:rsid w:val="2BD05345"/>
    <w:rsid w:val="2DCC64B9"/>
    <w:rsid w:val="2EE042EE"/>
    <w:rsid w:val="2FDF07F6"/>
    <w:rsid w:val="31A35DC0"/>
    <w:rsid w:val="321F5EA9"/>
    <w:rsid w:val="3372483B"/>
    <w:rsid w:val="35413A2B"/>
    <w:rsid w:val="358C4CA5"/>
    <w:rsid w:val="364C3ACA"/>
    <w:rsid w:val="37E32DCA"/>
    <w:rsid w:val="382230C8"/>
    <w:rsid w:val="38243B36"/>
    <w:rsid w:val="389D716C"/>
    <w:rsid w:val="38AE328B"/>
    <w:rsid w:val="39C8767B"/>
    <w:rsid w:val="39D93AF3"/>
    <w:rsid w:val="3C15514F"/>
    <w:rsid w:val="40687901"/>
    <w:rsid w:val="438233B0"/>
    <w:rsid w:val="445E1B5B"/>
    <w:rsid w:val="44FA0A84"/>
    <w:rsid w:val="457A21F2"/>
    <w:rsid w:val="46671F7F"/>
    <w:rsid w:val="488D60AA"/>
    <w:rsid w:val="48C55C39"/>
    <w:rsid w:val="49BB2EFF"/>
    <w:rsid w:val="4AFF380E"/>
    <w:rsid w:val="4BFC0A66"/>
    <w:rsid w:val="4E043D14"/>
    <w:rsid w:val="4E6E14CE"/>
    <w:rsid w:val="5020234E"/>
    <w:rsid w:val="507D0292"/>
    <w:rsid w:val="50F109B0"/>
    <w:rsid w:val="5B006FE6"/>
    <w:rsid w:val="5BD5021E"/>
    <w:rsid w:val="5C990A55"/>
    <w:rsid w:val="5CE71E08"/>
    <w:rsid w:val="5D2C49A9"/>
    <w:rsid w:val="5FF4535A"/>
    <w:rsid w:val="61035103"/>
    <w:rsid w:val="61F969A1"/>
    <w:rsid w:val="64867A26"/>
    <w:rsid w:val="67477B77"/>
    <w:rsid w:val="690E595C"/>
    <w:rsid w:val="6C9E7DCE"/>
    <w:rsid w:val="6EB22882"/>
    <w:rsid w:val="70D57F75"/>
    <w:rsid w:val="72311406"/>
    <w:rsid w:val="73D91F7D"/>
    <w:rsid w:val="774F2F83"/>
    <w:rsid w:val="775132D1"/>
    <w:rsid w:val="796C2A20"/>
    <w:rsid w:val="7B921447"/>
    <w:rsid w:val="7F6C2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keepLines/>
      <w:spacing w:line="520" w:lineRule="exact"/>
      <w:ind w:firstLine="643" w:firstLineChars="200"/>
      <w:outlineLvl w:val="2"/>
    </w:pPr>
    <w:rPr>
      <w:rFonts w:eastAsia="仿宋" w:asciiTheme="minorAscii" w:hAnsiTheme="minorAsci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w:basedOn w:val="1"/>
    <w:next w:val="1"/>
    <w:qFormat/>
    <w:uiPriority w:val="0"/>
    <w:pPr>
      <w:spacing w:after="120"/>
    </w:pPr>
  </w:style>
  <w:style w:type="paragraph" w:styleId="6">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7">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8">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9">
    <w:name w:val="Body Text First Indent"/>
    <w:basedOn w:val="5"/>
    <w:qFormat/>
    <w:uiPriority w:val="0"/>
    <w:pPr>
      <w:ind w:firstLine="960" w:firstLineChars="200"/>
    </w:pPr>
    <w:rPr>
      <w:rFonts w:ascii="Times New Roman" w:hAnsi="Times New Roman" w:eastAsia="宋体" w:cs="Times New Roman"/>
      <w:szCs w:val="21"/>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6272</Words>
  <Characters>6575</Characters>
  <Lines>49</Lines>
  <Paragraphs>13</Paragraphs>
  <TotalTime>0</TotalTime>
  <ScaleCrop>false</ScaleCrop>
  <LinksUpToDate>false</LinksUpToDate>
  <CharactersWithSpaces>6620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cp:lastPrinted>2023-03-18T10:39:00Z</cp:lastPrinted>
  <dcterms:modified xsi:type="dcterms:W3CDTF">2024-11-18T09:41:37Z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66774D411AD148928F5CB87A18A0E072</vt:lpwstr>
  </property>
</Properties>
</file>