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48"/>
          <w:szCs w:val="48"/>
        </w:rPr>
      </w:pPr>
    </w:p>
    <w:p>
      <w:pPr>
        <w:jc w:val="center"/>
        <w:rPr>
          <w:rFonts w:ascii="宋体" w:hAnsi="宋体" w:eastAsia="宋体" w:cs="Arial"/>
          <w:b/>
          <w:bCs/>
          <w:color w:val="auto"/>
          <w:sz w:val="48"/>
          <w:szCs w:val="48"/>
        </w:rPr>
      </w:pPr>
    </w:p>
    <w:p>
      <w:pPr>
        <w:jc w:val="center"/>
        <w:rPr>
          <w:rFonts w:ascii="宋体" w:hAnsi="宋体" w:eastAsia="宋体" w:cs="Arial"/>
          <w:b/>
          <w:bCs/>
          <w:color w:val="auto"/>
          <w:sz w:val="48"/>
          <w:szCs w:val="48"/>
        </w:rPr>
      </w:pPr>
    </w:p>
    <w:p>
      <w:pPr>
        <w:jc w:val="center"/>
        <w:rPr>
          <w:rFonts w:ascii="宋体" w:hAnsi="宋体" w:eastAsia="宋体" w:cs="Arial"/>
          <w:b/>
          <w:bCs/>
          <w:color w:val="auto"/>
          <w:sz w:val="52"/>
          <w:szCs w:val="52"/>
        </w:rPr>
      </w:pPr>
      <w:r>
        <w:rPr>
          <w:rFonts w:hint="eastAsia" w:ascii="宋体" w:hAnsi="宋体" w:eastAsia="宋体" w:cs="Arial"/>
          <w:b/>
          <w:bCs/>
          <w:color w:val="auto"/>
          <w:sz w:val="52"/>
          <w:szCs w:val="52"/>
        </w:rPr>
        <w:t>2023年新时代廉洁文化建设经费项目支出绩效评价报告</w:t>
      </w:r>
    </w:p>
    <w:p>
      <w:pPr>
        <w:jc w:val="center"/>
        <w:rPr>
          <w:rFonts w:ascii="宋体" w:hAnsi="宋体" w:eastAsia="宋体" w:cs="Arial"/>
          <w:b/>
          <w:bCs/>
          <w:color w:val="auto"/>
          <w:sz w:val="48"/>
          <w:szCs w:val="48"/>
        </w:rPr>
      </w:pPr>
    </w:p>
    <w:p>
      <w:pPr>
        <w:widowControl/>
        <w:spacing w:line="560" w:lineRule="exact"/>
        <w:jc w:val="center"/>
        <w:rPr>
          <w:rFonts w:ascii="仿宋_GB2312" w:hAnsi="仿宋_GB2312" w:cs="仿宋_GB2312"/>
          <w:b/>
          <w:color w:val="auto"/>
          <w:kern w:val="0"/>
          <w:sz w:val="50"/>
          <w:szCs w:val="50"/>
          <w:lang w:bidi="en-US"/>
        </w:rPr>
      </w:pPr>
      <w:r>
        <w:rPr>
          <w:rFonts w:hint="eastAsia" w:ascii="方正小标宋简体" w:hAnsi="方正小标宋简体" w:eastAsia="方正小标宋简体" w:cs="方正小标宋简体"/>
          <w:color w:val="auto"/>
          <w:kern w:val="0"/>
          <w:sz w:val="36"/>
          <w:szCs w:val="36"/>
        </w:rPr>
        <w:t>（</w:t>
      </w:r>
      <w:r>
        <w:rPr>
          <w:rFonts w:hint="default" w:ascii="方正小标宋简体" w:hAnsi="方正小标宋简体" w:eastAsia="方正小标宋简体" w:cs="方正小标宋简体"/>
          <w:color w:val="auto"/>
          <w:kern w:val="0"/>
          <w:sz w:val="36"/>
          <w:szCs w:val="36"/>
          <w:lang w:val="en-US" w:eastAsia="zh-CN"/>
        </w:rPr>
        <w:t>2023</w:t>
      </w:r>
      <w:r>
        <w:rPr>
          <w:rFonts w:hint="eastAsia" w:ascii="方正小标宋简体" w:hAnsi="方正小标宋简体" w:eastAsia="方正小标宋简体" w:cs="方正小标宋简体"/>
          <w:color w:val="auto"/>
          <w:kern w:val="0"/>
          <w:sz w:val="36"/>
          <w:szCs w:val="36"/>
        </w:rPr>
        <w:t>年度）</w:t>
      </w:r>
    </w:p>
    <w:p>
      <w:pPr>
        <w:spacing w:line="480" w:lineRule="auto"/>
        <w:jc w:val="center"/>
        <w:rPr>
          <w:rFonts w:ascii="仿宋_GB2312" w:hAnsi="仿宋_GB2312" w:cs="仿宋_GB2312"/>
          <w:b/>
          <w:color w:val="auto"/>
          <w:kern w:val="0"/>
          <w:sz w:val="50"/>
          <w:szCs w:val="50"/>
          <w:lang w:bidi="en-US"/>
        </w:rPr>
      </w:pPr>
    </w:p>
    <w:p>
      <w:pPr>
        <w:spacing w:line="480" w:lineRule="auto"/>
        <w:jc w:val="center"/>
        <w:rPr>
          <w:rFonts w:ascii="仿宋_GB2312" w:hAnsi="仿宋_GB2312" w:cs="仿宋_GB2312"/>
          <w:b/>
          <w:color w:val="auto"/>
          <w:kern w:val="0"/>
          <w:sz w:val="50"/>
          <w:szCs w:val="50"/>
          <w:lang w:bidi="en-US"/>
        </w:rPr>
      </w:pPr>
    </w:p>
    <w:p>
      <w:pPr>
        <w:spacing w:line="480" w:lineRule="auto"/>
        <w:jc w:val="center"/>
        <w:rPr>
          <w:rFonts w:ascii="仿宋_GB2312" w:hAnsi="仿宋_GB2312" w:cs="仿宋_GB2312"/>
          <w:b/>
          <w:color w:val="auto"/>
          <w:kern w:val="0"/>
          <w:sz w:val="50"/>
          <w:szCs w:val="50"/>
          <w:lang w:bidi="en-US"/>
        </w:rPr>
      </w:pPr>
    </w:p>
    <w:p>
      <w:pPr>
        <w:spacing w:line="480" w:lineRule="auto"/>
        <w:jc w:val="center"/>
        <w:rPr>
          <w:rFonts w:ascii="仿宋_GB2312" w:hAnsi="仿宋_GB2312" w:cs="仿宋_GB2312"/>
          <w:b/>
          <w:color w:val="auto"/>
          <w:kern w:val="0"/>
          <w:sz w:val="50"/>
          <w:szCs w:val="50"/>
          <w:lang w:bidi="en-US"/>
        </w:rPr>
      </w:pPr>
    </w:p>
    <w:p>
      <w:pPr>
        <w:spacing w:line="480" w:lineRule="auto"/>
        <w:jc w:val="center"/>
        <w:rPr>
          <w:rFonts w:ascii="仿宋_GB2312" w:hAnsi="仿宋_GB2312" w:cs="仿宋_GB2312"/>
          <w:b/>
          <w:color w:val="auto"/>
          <w:kern w:val="0"/>
          <w:sz w:val="50"/>
          <w:szCs w:val="50"/>
          <w:lang w:bidi="en-US"/>
        </w:rPr>
      </w:pPr>
    </w:p>
    <w:p>
      <w:pPr>
        <w:spacing w:line="560" w:lineRule="exact"/>
        <w:ind w:firstLine="321" w:firstLineChars="100"/>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项目名称：2023年新时代廉洁文化建设经费</w:t>
      </w:r>
      <w:r>
        <w:rPr>
          <w:rFonts w:ascii="宋体" w:hAnsi="宋体" w:eastAsia="宋体" w:cs="宋体"/>
          <w:color w:val="auto"/>
          <w:kern w:val="0"/>
          <w:sz w:val="32"/>
          <w:szCs w:val="32"/>
        </w:rPr>
        <w:t xml:space="preserve"> </w:t>
      </w:r>
    </w:p>
    <w:p>
      <w:pPr>
        <w:spacing w:line="560" w:lineRule="exact"/>
        <w:ind w:firstLine="321" w:firstLineChars="100"/>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实施单位（公章）：</w:t>
      </w:r>
      <w:r>
        <w:rPr>
          <w:rFonts w:hint="eastAsia" w:ascii="宋体" w:hAnsi="宋体" w:eastAsia="宋体" w:cs="仿宋_GB2312"/>
          <w:b/>
          <w:bCs/>
          <w:color w:val="auto"/>
          <w:kern w:val="0"/>
          <w:sz w:val="32"/>
          <w:szCs w:val="32"/>
          <w:lang w:val="en-US" w:eastAsia="zh-CN"/>
        </w:rPr>
        <w:t>中共且末县纪律检查委员会</w:t>
      </w:r>
      <w:r>
        <w:rPr>
          <w:rFonts w:ascii="宋体" w:hAnsi="宋体" w:eastAsia="宋体" w:cs="宋体"/>
          <w:color w:val="auto"/>
          <w:kern w:val="0"/>
          <w:sz w:val="32"/>
          <w:szCs w:val="32"/>
        </w:rPr>
        <w:t xml:space="preserve"> </w:t>
      </w:r>
    </w:p>
    <w:p>
      <w:pPr>
        <w:spacing w:line="560" w:lineRule="exact"/>
        <w:ind w:firstLine="321" w:firstLineChars="100"/>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主管部门（公章）：</w:t>
      </w:r>
      <w:r>
        <w:rPr>
          <w:rFonts w:hint="eastAsia" w:ascii="宋体" w:hAnsi="宋体" w:eastAsia="宋体" w:cs="仿宋_GB2312"/>
          <w:b/>
          <w:bCs/>
          <w:color w:val="auto"/>
          <w:kern w:val="0"/>
          <w:sz w:val="32"/>
          <w:szCs w:val="32"/>
          <w:lang w:val="en-US" w:eastAsia="zh-CN"/>
        </w:rPr>
        <w:t>中共且末县纪律检查委员会</w:t>
      </w:r>
      <w:r>
        <w:rPr>
          <w:rFonts w:ascii="宋体" w:hAnsi="宋体" w:eastAsia="宋体" w:cs="宋体"/>
          <w:color w:val="auto"/>
          <w:kern w:val="0"/>
          <w:sz w:val="32"/>
          <w:szCs w:val="32"/>
        </w:rPr>
        <w:t xml:space="preserve"> </w:t>
      </w:r>
    </w:p>
    <w:p>
      <w:pPr>
        <w:spacing w:line="560" w:lineRule="exact"/>
        <w:ind w:firstLine="321" w:firstLineChars="100"/>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项目负责人（签章）：</w:t>
      </w:r>
      <w:r>
        <w:rPr>
          <w:rFonts w:hint="eastAsia" w:ascii="宋体" w:hAnsi="宋体" w:eastAsia="宋体" w:cs="仿宋_GB2312"/>
          <w:b/>
          <w:bCs/>
          <w:color w:val="auto"/>
          <w:kern w:val="0"/>
          <w:sz w:val="32"/>
          <w:szCs w:val="32"/>
          <w:lang w:val="en-US" w:eastAsia="zh-CN"/>
        </w:rPr>
        <w:t>王磊</w:t>
      </w:r>
      <w:r>
        <w:rPr>
          <w:rFonts w:ascii="宋体" w:hAnsi="宋体" w:eastAsia="宋体" w:cs="宋体"/>
          <w:color w:val="auto"/>
          <w:kern w:val="0"/>
          <w:sz w:val="32"/>
          <w:szCs w:val="32"/>
        </w:rPr>
        <w:t xml:space="preserve"> </w:t>
      </w:r>
    </w:p>
    <w:p>
      <w:pPr>
        <w:spacing w:line="560" w:lineRule="exact"/>
        <w:ind w:firstLine="321" w:firstLineChars="100"/>
        <w:rPr>
          <w:rFonts w:ascii="宋体" w:hAnsi="宋体" w:eastAsia="宋体" w:cs="仿宋_GB2312"/>
          <w:color w:val="auto"/>
          <w:kern w:val="0"/>
          <w:sz w:val="32"/>
          <w:szCs w:val="32"/>
        </w:rPr>
      </w:pPr>
      <w:r>
        <w:rPr>
          <w:rFonts w:hint="eastAsia" w:ascii="宋体" w:hAnsi="宋体" w:eastAsia="宋体" w:cs="仿宋_GB2312"/>
          <w:b/>
          <w:bCs/>
          <w:color w:val="auto"/>
          <w:kern w:val="0"/>
          <w:sz w:val="32"/>
          <w:szCs w:val="32"/>
        </w:rPr>
        <w:t>填报时间：</w:t>
      </w:r>
      <w:r>
        <w:rPr>
          <w:rFonts w:hint="eastAsia" w:ascii="宋体" w:hAnsi="宋体" w:eastAsia="宋体" w:cs="仿宋_GB2312"/>
          <w:color w:val="auto"/>
          <w:kern w:val="0"/>
          <w:sz w:val="32"/>
          <w:szCs w:val="32"/>
          <w:lang w:val="en-US" w:eastAsia="zh-CN"/>
        </w:rPr>
        <w:t>2024</w:t>
      </w:r>
      <w:r>
        <w:rPr>
          <w:rFonts w:hint="eastAsia" w:ascii="宋体" w:hAnsi="宋体" w:eastAsia="宋体" w:cs="仿宋_GB2312"/>
          <w:color w:val="auto"/>
          <w:kern w:val="0"/>
          <w:sz w:val="32"/>
          <w:szCs w:val="32"/>
        </w:rPr>
        <w:t>年</w:t>
      </w:r>
      <w:r>
        <w:rPr>
          <w:rFonts w:hint="eastAsia" w:ascii="宋体" w:hAnsi="宋体" w:eastAsia="宋体" w:cs="仿宋_GB2312"/>
          <w:color w:val="auto"/>
          <w:kern w:val="0"/>
          <w:sz w:val="32"/>
          <w:szCs w:val="32"/>
          <w:lang w:val="en-US" w:eastAsia="zh-CN"/>
        </w:rPr>
        <w:t>5</w:t>
      </w:r>
      <w:r>
        <w:rPr>
          <w:rFonts w:hint="eastAsia" w:ascii="宋体" w:hAnsi="宋体" w:eastAsia="宋体" w:cs="仿宋_GB2312"/>
          <w:color w:val="auto"/>
          <w:kern w:val="0"/>
          <w:sz w:val="32"/>
          <w:szCs w:val="32"/>
        </w:rPr>
        <w:t>月</w:t>
      </w:r>
      <w:r>
        <w:rPr>
          <w:rFonts w:hint="eastAsia" w:ascii="宋体" w:hAnsi="宋体" w:eastAsia="宋体" w:cs="仿宋_GB2312"/>
          <w:color w:val="auto"/>
          <w:kern w:val="0"/>
          <w:sz w:val="32"/>
          <w:szCs w:val="32"/>
          <w:lang w:val="en-US" w:eastAsia="zh-CN"/>
        </w:rPr>
        <w:t>20</w:t>
      </w:r>
      <w:r>
        <w:rPr>
          <w:rFonts w:hint="eastAsia" w:ascii="宋体" w:hAnsi="宋体" w:eastAsia="宋体" w:cs="仿宋_GB2312"/>
          <w:color w:val="auto"/>
          <w:kern w:val="0"/>
          <w:sz w:val="32"/>
          <w:szCs w:val="32"/>
        </w:rPr>
        <w:t>日</w:t>
      </w:r>
    </w:p>
    <w:p>
      <w:pPr>
        <w:jc w:val="center"/>
        <w:rPr>
          <w:rFonts w:ascii="宋体" w:hAnsi="宋体" w:eastAsia="宋体" w:cs="Arial"/>
          <w:b/>
          <w:bCs/>
          <w:color w:val="auto"/>
          <w:sz w:val="36"/>
          <w:szCs w:val="36"/>
        </w:rPr>
      </w:pPr>
    </w:p>
    <w:p>
      <w:pPr>
        <w:widowControl/>
        <w:jc w:val="left"/>
        <w:rPr>
          <w:rFonts w:ascii="宋体" w:hAnsi="宋体" w:eastAsia="宋体" w:cs="Arial"/>
          <w:b/>
          <w:bCs/>
          <w:color w:val="auto"/>
          <w:sz w:val="36"/>
          <w:szCs w:val="36"/>
        </w:rPr>
      </w:pPr>
      <w:r>
        <w:rPr>
          <w:rFonts w:ascii="宋体" w:hAnsi="宋体" w:eastAsia="宋体" w:cs="Arial"/>
          <w:b/>
          <w:bCs/>
          <w:color w:val="auto"/>
          <w:sz w:val="36"/>
          <w:szCs w:val="36"/>
        </w:rPr>
        <w:br w:type="page"/>
      </w:r>
    </w:p>
    <w:p>
      <w:pPr>
        <w:jc w:val="center"/>
        <w:rPr>
          <w:rFonts w:ascii="Arial" w:hAnsi="Arial" w:eastAsia="宋体" w:cs="Arial"/>
          <w:b/>
          <w:bCs/>
          <w:color w:val="auto"/>
          <w:sz w:val="36"/>
          <w:szCs w:val="36"/>
        </w:rPr>
      </w:pPr>
      <w:r>
        <w:rPr>
          <w:rFonts w:hint="eastAsia" w:ascii="宋体" w:hAnsi="宋体" w:eastAsia="宋体" w:cs="Arial"/>
          <w:b/>
          <w:bCs/>
          <w:color w:val="auto"/>
          <w:sz w:val="36"/>
          <w:szCs w:val="36"/>
        </w:rPr>
        <w:t>项目支出</w:t>
      </w:r>
      <w:r>
        <w:rPr>
          <w:rFonts w:ascii="宋体" w:hAnsi="宋体" w:eastAsia="宋体" w:cs="Arial"/>
          <w:b/>
          <w:bCs/>
          <w:color w:val="auto"/>
          <w:sz w:val="36"/>
          <w:szCs w:val="36"/>
        </w:rPr>
        <w:t>绩效</w:t>
      </w:r>
      <w:r>
        <w:rPr>
          <w:rFonts w:hint="eastAsia" w:ascii="宋体" w:hAnsi="宋体" w:eastAsia="宋体" w:cs="Arial"/>
          <w:b/>
          <w:bCs/>
          <w:color w:val="auto"/>
          <w:sz w:val="36"/>
          <w:szCs w:val="36"/>
        </w:rPr>
        <w:t>评价报告</w:t>
      </w:r>
    </w:p>
    <w:p>
      <w:pPr>
        <w:jc w:val="center"/>
        <w:rPr>
          <w:rFonts w:ascii="仿宋_GB2312"/>
          <w:color w:val="auto"/>
          <w:szCs w:val="30"/>
        </w:rPr>
      </w:pPr>
    </w:p>
    <w:p>
      <w:pPr>
        <w:pStyle w:val="3"/>
        <w:spacing w:line="360" w:lineRule="auto"/>
        <w:rPr>
          <w:rFonts w:ascii="宋体" w:hAnsi="宋体" w:eastAsia="宋体"/>
          <w:color w:val="auto"/>
          <w:sz w:val="32"/>
          <w:szCs w:val="32"/>
        </w:rPr>
      </w:pPr>
      <w:bookmarkStart w:id="0" w:name="_Toc68703827"/>
      <w:r>
        <w:rPr>
          <w:rFonts w:hint="eastAsia" w:ascii="宋体" w:hAnsi="宋体" w:eastAsia="宋体"/>
          <w:color w:val="auto"/>
          <w:sz w:val="32"/>
          <w:szCs w:val="32"/>
        </w:rPr>
        <w:t>一、基本情况</w:t>
      </w:r>
      <w:bookmarkEnd w:id="0"/>
    </w:p>
    <w:p>
      <w:pPr>
        <w:pStyle w:val="4"/>
        <w:spacing w:line="360" w:lineRule="auto"/>
        <w:rPr>
          <w:rFonts w:ascii="仿宋_GB2312" w:eastAsia="仿宋_GB2312"/>
          <w:b w:val="0"/>
          <w:bCs w:val="0"/>
          <w:color w:val="auto"/>
        </w:rPr>
      </w:pPr>
      <w:bookmarkStart w:id="1" w:name="_Toc68703828"/>
      <w:r>
        <w:rPr>
          <w:rFonts w:hint="eastAsia" w:ascii="仿宋_GB2312" w:eastAsia="仿宋_GB2312"/>
          <w:b w:val="0"/>
          <w:bCs w:val="0"/>
          <w:color w:val="auto"/>
        </w:rPr>
        <w:t>（一）项目概况。</w:t>
      </w:r>
      <w:bookmarkEnd w:id="1"/>
    </w:p>
    <w:p>
      <w:pPr>
        <w:numPr>
          <w:ilvl w:val="0"/>
          <w:numId w:val="1"/>
        </w:numPr>
        <w:spacing w:line="360" w:lineRule="auto"/>
        <w:ind w:firstLine="600" w:firstLineChars="200"/>
        <w:rPr>
          <w:rFonts w:hint="default" w:ascii="仿宋_GB2312" w:eastAsia="仿宋_GB2312"/>
          <w:color w:val="auto"/>
          <w:lang w:val="en-US" w:eastAsia="zh-CN"/>
        </w:rPr>
      </w:pPr>
      <w:r>
        <w:rPr>
          <w:rFonts w:hint="eastAsia" w:ascii="仿宋_GB2312"/>
          <w:color w:val="auto"/>
        </w:rPr>
        <w:t>项目背景</w:t>
      </w:r>
    </w:p>
    <w:p>
      <w:pPr>
        <w:numPr>
          <w:ilvl w:val="0"/>
          <w:numId w:val="0"/>
        </w:numPr>
        <w:spacing w:line="360" w:lineRule="auto"/>
        <w:ind w:firstLine="600" w:firstLineChars="200"/>
        <w:rPr>
          <w:rFonts w:hint="default" w:ascii="仿宋_GB2312" w:eastAsia="仿宋_GB2312"/>
          <w:color w:val="auto"/>
          <w:lang w:val="en-US" w:eastAsia="zh-CN"/>
        </w:rPr>
      </w:pPr>
      <w:r>
        <w:rPr>
          <w:rFonts w:hint="eastAsia" w:ascii="仿宋_GB2312"/>
          <w:color w:val="auto"/>
          <w:lang w:val="en-US" w:eastAsia="zh-CN"/>
        </w:rPr>
        <w:t xml:space="preserve">为深入贯彻全面从严治党战略方针，贯彻且末县党委办公室印发《且末县关于加强新时代廉洁文化建设的实施方案》的通知（且党办发〔2022〕34号）精神，进一步加强新时代廉洁文化建设，教育引导广大党员、干部增强不想腐的自觉。 </w:t>
      </w:r>
    </w:p>
    <w:p>
      <w:pPr>
        <w:spacing w:line="360" w:lineRule="auto"/>
        <w:ind w:firstLine="600" w:firstLineChars="200"/>
        <w:rPr>
          <w:rFonts w:ascii="仿宋_GB2312"/>
          <w:color w:val="auto"/>
        </w:rPr>
      </w:pPr>
      <w:r>
        <w:rPr>
          <w:rFonts w:hint="eastAsia" w:ascii="仿宋_GB2312"/>
          <w:color w:val="auto"/>
        </w:rPr>
        <w:t>2、主要内容</w:t>
      </w:r>
      <w:r>
        <w:rPr>
          <w:rFonts w:hint="eastAsia"/>
          <w:color w:val="auto"/>
        </w:rPr>
        <w:t>及</w:t>
      </w:r>
      <w:r>
        <w:rPr>
          <w:rFonts w:hint="eastAsia" w:ascii="仿宋_GB2312"/>
          <w:color w:val="auto"/>
        </w:rPr>
        <w:t>实施情况</w:t>
      </w:r>
    </w:p>
    <w:p>
      <w:pPr>
        <w:spacing w:line="360" w:lineRule="auto"/>
        <w:ind w:firstLine="600" w:firstLineChars="200"/>
        <w:rPr>
          <w:rFonts w:hint="default" w:ascii="仿宋_GB2312" w:eastAsia="仿宋_GB2312"/>
          <w:color w:val="auto"/>
          <w:lang w:val="en-US" w:eastAsia="zh-CN"/>
        </w:rPr>
      </w:pPr>
      <w:r>
        <w:rPr>
          <w:rFonts w:hint="eastAsia" w:ascii="仿宋_GB2312"/>
          <w:color w:val="auto"/>
        </w:rPr>
        <w:t>主要内容：</w:t>
      </w:r>
      <w:r>
        <w:rPr>
          <w:rFonts w:hint="eastAsia" w:ascii="仿宋_GB2312"/>
          <w:color w:val="auto"/>
          <w:lang w:val="en-US" w:eastAsia="zh-CN"/>
        </w:rPr>
        <w:t>着力打造“且末廉韵”廉洁文化品牌，高质量推进且末县新时代廉洁文化建设。结合本县实际打造“一县一品”“一乡一特色”廉政教育基地、围绕“门、廊、墙、栏”廉洁文化建设、“廉洁人物”“廉洁故事”等内容运用到、建设到本地廉洁文化中。</w:t>
      </w:r>
    </w:p>
    <w:p>
      <w:pPr>
        <w:spacing w:line="360" w:lineRule="auto"/>
        <w:ind w:firstLine="600" w:firstLineChars="200"/>
        <w:rPr>
          <w:rFonts w:hint="eastAsia" w:ascii="仿宋_GB2312"/>
          <w:color w:val="auto"/>
        </w:rPr>
      </w:pPr>
      <w:r>
        <w:rPr>
          <w:rFonts w:hint="eastAsia" w:ascii="仿宋_GB2312"/>
          <w:color w:val="auto"/>
        </w:rPr>
        <w:t>实施情况：2023年廉洁文化资金有力的促进了打造“一县一品”、“一乡一特色”廉政教育基地、推进且末县新时代廉洁文化建设高质量发展，已打造完成人民公园廉洁文化长廊、前进西路路灯廉洁文化宣传牌、办公室廉洁文化广告宣传牌等廉洁文化设施及基地建设，对当地政治生态向好发展提供了有力支持。</w:t>
      </w:r>
    </w:p>
    <w:p>
      <w:pPr>
        <w:spacing w:line="360" w:lineRule="auto"/>
        <w:ind w:firstLine="600" w:firstLineChars="200"/>
        <w:rPr>
          <w:rFonts w:ascii="仿宋_GB2312"/>
          <w:color w:val="auto"/>
        </w:rPr>
      </w:pPr>
      <w:r>
        <w:rPr>
          <w:rFonts w:ascii="仿宋_GB2312"/>
          <w:color w:val="auto"/>
        </w:rPr>
        <w:t>4</w:t>
      </w:r>
      <w:r>
        <w:rPr>
          <w:rFonts w:hint="eastAsia" w:ascii="仿宋_GB2312"/>
          <w:color w:val="auto"/>
        </w:rPr>
        <w:t>、资金投入和使用情况</w:t>
      </w:r>
    </w:p>
    <w:p>
      <w:pPr>
        <w:spacing w:line="360" w:lineRule="auto"/>
        <w:ind w:firstLine="600" w:firstLineChars="200"/>
        <w:rPr>
          <w:color w:val="auto"/>
          <w:highlight w:val="none"/>
        </w:rPr>
      </w:pPr>
      <w:r>
        <w:rPr>
          <w:rFonts w:hint="eastAsia"/>
          <w:color w:val="auto"/>
        </w:rPr>
        <w:t>资金投入情况</w:t>
      </w:r>
      <w:r>
        <w:rPr>
          <w:rFonts w:hint="eastAsia"/>
          <w:color w:val="auto"/>
          <w:highlight w:val="none"/>
        </w:rPr>
        <w:t>：该项目年初预算数</w:t>
      </w:r>
      <w:r>
        <w:rPr>
          <w:rFonts w:hint="eastAsia"/>
          <w:color w:val="auto"/>
          <w:highlight w:val="none"/>
          <w:lang w:val="en-US" w:eastAsia="zh-CN"/>
        </w:rPr>
        <w:t>30</w:t>
      </w:r>
      <w:r>
        <w:rPr>
          <w:rFonts w:hint="eastAsia"/>
          <w:color w:val="auto"/>
          <w:highlight w:val="none"/>
        </w:rPr>
        <w:t>万元，全年预算数</w:t>
      </w:r>
      <w:r>
        <w:rPr>
          <w:rFonts w:hint="eastAsia"/>
          <w:color w:val="auto"/>
          <w:highlight w:val="none"/>
          <w:lang w:val="en-US" w:eastAsia="zh-CN"/>
        </w:rPr>
        <w:t>30</w:t>
      </w:r>
      <w:r>
        <w:rPr>
          <w:rFonts w:hint="eastAsia"/>
          <w:color w:val="auto"/>
          <w:highlight w:val="none"/>
        </w:rPr>
        <w:t>万元（有年中追加资金，全年预算数=年初预算数+追加资金），实际总投入</w:t>
      </w:r>
      <w:r>
        <w:rPr>
          <w:rFonts w:hint="eastAsia"/>
          <w:color w:val="auto"/>
          <w:highlight w:val="none"/>
          <w:lang w:val="en-US" w:eastAsia="zh-CN"/>
        </w:rPr>
        <w:t>0</w:t>
      </w:r>
      <w:r>
        <w:rPr>
          <w:rFonts w:hint="eastAsia"/>
          <w:color w:val="auto"/>
          <w:highlight w:val="none"/>
        </w:rPr>
        <w:t>万元，该项目资金落实到位</w:t>
      </w:r>
      <w:r>
        <w:rPr>
          <w:rFonts w:hint="eastAsia"/>
          <w:color w:val="auto"/>
          <w:highlight w:val="none"/>
          <w:lang w:val="en-US" w:eastAsia="zh-CN"/>
        </w:rPr>
        <w:t>0</w:t>
      </w:r>
      <w:r>
        <w:rPr>
          <w:rFonts w:hint="eastAsia"/>
          <w:color w:val="auto"/>
          <w:highlight w:val="none"/>
        </w:rPr>
        <w:t>万元，资金来源为</w:t>
      </w:r>
      <w:r>
        <w:rPr>
          <w:rFonts w:hint="eastAsia"/>
          <w:color w:val="auto"/>
          <w:highlight w:val="none"/>
          <w:lang w:val="en-US" w:eastAsia="zh-CN"/>
        </w:rPr>
        <w:t>财政拨款</w:t>
      </w:r>
      <w:r>
        <w:rPr>
          <w:rFonts w:hint="eastAsia"/>
          <w:color w:val="auto"/>
          <w:highlight w:val="none"/>
        </w:rPr>
        <w:t>。</w:t>
      </w:r>
    </w:p>
    <w:p>
      <w:pPr>
        <w:spacing w:line="360" w:lineRule="auto"/>
        <w:ind w:firstLine="600" w:firstLineChars="200"/>
        <w:rPr>
          <w:color w:val="auto"/>
        </w:rPr>
      </w:pPr>
      <w:r>
        <w:rPr>
          <w:rFonts w:hint="eastAsia"/>
          <w:color w:val="auto"/>
          <w:highlight w:val="none"/>
        </w:rPr>
        <w:t>资金使用情况：该项目年初预算数</w:t>
      </w:r>
      <w:r>
        <w:rPr>
          <w:rFonts w:hint="eastAsia"/>
          <w:color w:val="auto"/>
          <w:highlight w:val="none"/>
          <w:lang w:val="en-US" w:eastAsia="zh-CN"/>
        </w:rPr>
        <w:t>30</w:t>
      </w:r>
      <w:r>
        <w:rPr>
          <w:rFonts w:hint="eastAsia"/>
          <w:color w:val="auto"/>
          <w:highlight w:val="none"/>
        </w:rPr>
        <w:t>万元，全年预算数</w:t>
      </w:r>
      <w:r>
        <w:rPr>
          <w:rFonts w:hint="eastAsia"/>
          <w:color w:val="auto"/>
          <w:highlight w:val="none"/>
          <w:lang w:val="en-US" w:eastAsia="zh-CN"/>
        </w:rPr>
        <w:t>30</w:t>
      </w:r>
      <w:r>
        <w:rPr>
          <w:rFonts w:hint="eastAsia"/>
          <w:color w:val="auto"/>
          <w:highlight w:val="none"/>
        </w:rPr>
        <w:t>万元（有年中追加资金，全年预算数=年初预算数+追加资金），全</w:t>
      </w:r>
      <w:r>
        <w:rPr>
          <w:rFonts w:hint="eastAsia"/>
          <w:color w:val="auto"/>
        </w:rPr>
        <w:t xml:space="preserve">年执行数 </w:t>
      </w:r>
      <w:r>
        <w:rPr>
          <w:rFonts w:hint="eastAsia"/>
          <w:color w:val="auto"/>
          <w:lang w:val="en-US" w:eastAsia="zh-CN"/>
        </w:rPr>
        <w:t>0</w:t>
      </w:r>
      <w:r>
        <w:rPr>
          <w:color w:val="auto"/>
        </w:rPr>
        <w:t xml:space="preserve"> </w:t>
      </w:r>
      <w:r>
        <w:rPr>
          <w:rFonts w:hint="eastAsia"/>
          <w:color w:val="auto"/>
        </w:rPr>
        <w:t>万元，预算执行率为</w:t>
      </w:r>
      <w:r>
        <w:rPr>
          <w:rFonts w:hint="eastAsia"/>
          <w:color w:val="auto"/>
          <w:lang w:val="en-US" w:eastAsia="zh-CN"/>
        </w:rPr>
        <w:t>0</w:t>
      </w:r>
      <w:r>
        <w:rPr>
          <w:rFonts w:hint="eastAsia"/>
          <w:color w:val="auto"/>
        </w:rPr>
        <w:t>%（预算执行率=全年执行数/全年预算数）。</w:t>
      </w:r>
    </w:p>
    <w:p>
      <w:pPr>
        <w:pStyle w:val="4"/>
        <w:numPr>
          <w:ilvl w:val="0"/>
          <w:numId w:val="2"/>
        </w:numPr>
        <w:spacing w:line="360" w:lineRule="auto"/>
        <w:ind w:firstLine="640" w:firstLineChars="200"/>
      </w:pPr>
      <w:bookmarkStart w:id="2" w:name="_Toc68703829"/>
      <w:r>
        <w:rPr>
          <w:rFonts w:hint="eastAsia" w:ascii="仿宋_GB2312" w:eastAsia="仿宋_GB2312"/>
          <w:b w:val="0"/>
          <w:bCs w:val="0"/>
          <w:color w:val="auto"/>
        </w:rPr>
        <w:t>项目绩效目标</w:t>
      </w:r>
      <w:bookmarkEnd w:id="2"/>
    </w:p>
    <w:p>
      <w:pPr>
        <w:numPr>
          <w:ilvl w:val="0"/>
          <w:numId w:val="3"/>
        </w:numPr>
        <w:spacing w:line="360" w:lineRule="auto"/>
        <w:ind w:firstLine="600" w:firstLineChars="200"/>
        <w:rPr>
          <w:color w:val="auto"/>
        </w:rPr>
      </w:pPr>
      <w:r>
        <w:rPr>
          <w:rFonts w:hint="eastAsia"/>
          <w:color w:val="auto"/>
        </w:rPr>
        <w:t>总体目标：</w:t>
      </w:r>
      <w:r>
        <w:rPr>
          <w:rFonts w:hint="eastAsia"/>
          <w:color w:val="auto"/>
          <w:lang w:val="en-US" w:eastAsia="zh-CN"/>
        </w:rPr>
        <w:t>根据《自治州关于加强新时代廉洁文化建设实施方案》（巴党办发</w:t>
      </w:r>
      <w:r>
        <w:rPr>
          <w:rFonts w:hint="eastAsia" w:ascii="仿宋_GB2312"/>
          <w:color w:val="auto"/>
          <w:lang w:val="en-US" w:eastAsia="zh-CN"/>
        </w:rPr>
        <w:t>〔2022〕17号），把廉洁文化建设纳入全州党风廉政建设和反腐败工作大局统筹谋划，进一步整合县市资源，因地制宜，建设廉洁文化公园、长廊、广场等，打造让群众看得见、摸得着、能感受的阵地场所，让干部群众在潜移默化中受教育，在润物无声中受警醒，助推全州新时代廉洁文化建设提质增效。</w:t>
      </w:r>
    </w:p>
    <w:p>
      <w:pPr>
        <w:numPr>
          <w:ilvl w:val="0"/>
          <w:numId w:val="0"/>
        </w:numPr>
        <w:spacing w:line="360" w:lineRule="auto"/>
        <w:ind w:firstLine="600" w:firstLineChars="200"/>
        <w:rPr>
          <w:rFonts w:hint="default" w:eastAsia="仿宋_GB2312"/>
          <w:color w:val="auto"/>
          <w:lang w:val="en-US" w:eastAsia="zh-CN"/>
        </w:rPr>
      </w:pPr>
      <w:r>
        <w:rPr>
          <w:color w:val="auto"/>
        </w:rPr>
        <w:t>2</w:t>
      </w:r>
      <w:r>
        <w:rPr>
          <w:rFonts w:hint="eastAsia"/>
          <w:color w:val="auto"/>
        </w:rPr>
        <w:t>、阶段性目标：</w:t>
      </w:r>
      <w:r>
        <w:rPr>
          <w:rFonts w:hint="eastAsia"/>
          <w:color w:val="auto"/>
          <w:lang w:val="en-US" w:eastAsia="zh-CN"/>
        </w:rPr>
        <w:t>结合各乡镇廉洁文化建设实际，按照资金使用方案分配资金，县本级、英吾斯塘乡、库拉木勒克乡、阿克提坎墩乡、且末镇、阿热勒镇着力打造廉洁文化设施。</w:t>
      </w:r>
    </w:p>
    <w:p>
      <w:pPr>
        <w:pStyle w:val="3"/>
        <w:spacing w:line="360" w:lineRule="auto"/>
        <w:rPr>
          <w:rFonts w:ascii="宋体" w:hAnsi="宋体" w:eastAsia="宋体"/>
          <w:color w:val="auto"/>
          <w:sz w:val="32"/>
          <w:szCs w:val="32"/>
        </w:rPr>
      </w:pPr>
      <w:bookmarkStart w:id="3" w:name="_Toc68703830"/>
      <w:r>
        <w:rPr>
          <w:rFonts w:hint="eastAsia" w:ascii="宋体" w:hAnsi="宋体" w:eastAsia="宋体"/>
          <w:color w:val="auto"/>
          <w:sz w:val="32"/>
          <w:szCs w:val="32"/>
        </w:rPr>
        <w:t>二、绩效评价工作开展情况</w:t>
      </w:r>
      <w:bookmarkEnd w:id="3"/>
    </w:p>
    <w:p>
      <w:pPr>
        <w:pStyle w:val="4"/>
        <w:spacing w:line="360" w:lineRule="auto"/>
        <w:rPr>
          <w:rFonts w:ascii="仿宋_GB2312" w:eastAsia="仿宋_GB2312"/>
          <w:b w:val="0"/>
          <w:bCs w:val="0"/>
          <w:color w:val="auto"/>
        </w:rPr>
      </w:pPr>
      <w:bookmarkStart w:id="4" w:name="_Toc68703831"/>
      <w:r>
        <w:rPr>
          <w:rFonts w:hint="eastAsia" w:ascii="仿宋_GB2312" w:eastAsia="仿宋_GB2312"/>
          <w:b w:val="0"/>
          <w:bCs w:val="0"/>
          <w:color w:val="auto"/>
        </w:rPr>
        <w:t>（一）绩效评价目的、对象和范围。</w:t>
      </w:r>
      <w:bookmarkEnd w:id="4"/>
    </w:p>
    <w:p>
      <w:pPr>
        <w:spacing w:line="360" w:lineRule="auto"/>
        <w:rPr>
          <w:color w:val="auto"/>
        </w:rPr>
      </w:pPr>
      <w:r>
        <w:rPr>
          <w:rFonts w:hint="eastAsia"/>
          <w:color w:val="auto"/>
        </w:rPr>
        <w:t>1、绩效评价目的：</w:t>
      </w:r>
    </w:p>
    <w:p>
      <w:pPr>
        <w:spacing w:line="360" w:lineRule="auto"/>
        <w:ind w:firstLine="640" w:firstLineChars="200"/>
        <w:jc w:val="left"/>
        <w:rPr>
          <w:rFonts w:ascii="仿宋_GB2312"/>
          <w:bCs/>
          <w:color w:val="auto"/>
          <w:sz w:val="32"/>
          <w:szCs w:val="32"/>
        </w:rPr>
      </w:pPr>
      <w:r>
        <w:rPr>
          <w:rFonts w:hint="eastAsia" w:ascii="仿宋_GB2312"/>
          <w:bCs/>
          <w:color w:val="auto"/>
          <w:sz w:val="32"/>
          <w:szCs w:val="32"/>
        </w:rPr>
        <w:t>通过绩效评价，客观地评判项目的管理绩效，了解和掌握2023年新时代廉洁文化建设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rPr>
          <w:color w:val="auto"/>
        </w:rPr>
      </w:pPr>
      <w:r>
        <w:rPr>
          <w:rFonts w:hint="eastAsia"/>
          <w:color w:val="auto"/>
        </w:rPr>
        <w:t>2、绩效评价对象：</w:t>
      </w:r>
    </w:p>
    <w:p>
      <w:pPr>
        <w:spacing w:line="360" w:lineRule="auto"/>
        <w:ind w:firstLine="640" w:firstLineChars="200"/>
        <w:rPr>
          <w:rFonts w:hint="eastAsia" w:ascii="仿宋_GB2312"/>
          <w:bCs/>
          <w:color w:val="auto"/>
          <w:sz w:val="32"/>
          <w:szCs w:val="32"/>
        </w:rPr>
      </w:pPr>
      <w:r>
        <w:rPr>
          <w:rFonts w:hint="eastAsia" w:ascii="仿宋_GB2312"/>
          <w:bCs/>
          <w:color w:val="auto"/>
          <w:sz w:val="32"/>
          <w:szCs w:val="32"/>
        </w:rPr>
        <w:t>2023年新时代廉洁文化建设经费</w:t>
      </w:r>
    </w:p>
    <w:p>
      <w:pPr>
        <w:spacing w:line="360" w:lineRule="auto"/>
        <w:ind w:firstLine="600" w:firstLineChars="200"/>
        <w:rPr>
          <w:color w:val="auto"/>
        </w:rPr>
      </w:pPr>
      <w:r>
        <w:rPr>
          <w:rFonts w:hint="eastAsia"/>
          <w:color w:val="auto"/>
        </w:rPr>
        <w:t>3、绩效评价范围：</w:t>
      </w:r>
    </w:p>
    <w:p>
      <w:pPr>
        <w:spacing w:line="360" w:lineRule="auto"/>
        <w:ind w:firstLine="600" w:firstLineChars="200"/>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w:t>
      </w:r>
      <w:r>
        <w:rPr>
          <w:rFonts w:hint="eastAsia" w:ascii="仿宋_GB2312"/>
          <w:bCs/>
          <w:color w:val="auto"/>
          <w:sz w:val="32"/>
          <w:szCs w:val="32"/>
        </w:rPr>
        <w:t>2023年新时代廉洁文化建设经费</w:t>
      </w:r>
      <w:r>
        <w:rPr>
          <w:rFonts w:hint="eastAsia"/>
          <w:color w:val="auto"/>
        </w:rPr>
        <w:t>评价，评价核心为专项资金的支出完成情况和效果。</w:t>
      </w:r>
    </w:p>
    <w:p>
      <w:pPr>
        <w:pStyle w:val="4"/>
        <w:spacing w:line="360" w:lineRule="auto"/>
        <w:rPr>
          <w:rFonts w:ascii="仿宋_GB2312" w:eastAsia="仿宋_GB2312"/>
          <w:b w:val="0"/>
          <w:bCs w:val="0"/>
          <w:color w:val="auto"/>
        </w:rPr>
      </w:pPr>
      <w:bookmarkStart w:id="5" w:name="_Toc68703832"/>
      <w:r>
        <w:rPr>
          <w:rFonts w:hint="eastAsia" w:ascii="仿宋_GB2312" w:eastAsia="仿宋_GB2312"/>
          <w:b w:val="0"/>
          <w:bCs w:val="0"/>
          <w:color w:val="auto"/>
        </w:rPr>
        <w:t>（二）绩效评价原则、评价指标体系、评价方法、评价标准等。</w:t>
      </w:r>
      <w:bookmarkEnd w:id="5"/>
    </w:p>
    <w:p>
      <w:pPr>
        <w:spacing w:line="360" w:lineRule="auto"/>
        <w:rPr>
          <w:color w:val="auto"/>
        </w:rPr>
      </w:pPr>
      <w:r>
        <w:rPr>
          <w:rFonts w:hint="eastAsia"/>
          <w:color w:val="auto"/>
        </w:rPr>
        <w:t>1、绩效评价原则</w:t>
      </w:r>
    </w:p>
    <w:p>
      <w:pPr>
        <w:spacing w:line="600" w:lineRule="exact"/>
        <w:ind w:firstLine="640"/>
        <w:rPr>
          <w:rFonts w:ascii="仿宋_GB2312"/>
          <w:bCs/>
          <w:color w:val="auto"/>
          <w:sz w:val="32"/>
          <w:szCs w:val="32"/>
        </w:rPr>
      </w:pPr>
      <w:r>
        <w:rPr>
          <w:rFonts w:hint="eastAsia" w:ascii="仿宋_GB2312"/>
          <w:bCs/>
          <w:color w:val="auto"/>
          <w:sz w:val="32"/>
          <w:szCs w:val="32"/>
        </w:rPr>
        <w:t>（一）科学公正。绩效评价应当运用科学合理的方法，按照规范的程序，对项目绩效进行客观、公正的反映。</w:t>
      </w:r>
    </w:p>
    <w:p>
      <w:pPr>
        <w:spacing w:line="600" w:lineRule="exact"/>
        <w:ind w:firstLine="640"/>
        <w:rPr>
          <w:rFonts w:ascii="仿宋_GB2312"/>
          <w:bCs/>
          <w:color w:val="auto"/>
          <w:sz w:val="32"/>
          <w:szCs w:val="32"/>
        </w:rPr>
      </w:pPr>
      <w:r>
        <w:rPr>
          <w:rFonts w:hint="eastAsia" w:ascii="仿宋_GB2312"/>
          <w:bCs/>
          <w:color w:val="auto"/>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bCs/>
          <w:color w:val="auto"/>
          <w:sz w:val="32"/>
          <w:szCs w:val="32"/>
        </w:rPr>
      </w:pPr>
      <w:r>
        <w:rPr>
          <w:rFonts w:hint="eastAsia" w:ascii="仿宋_GB2312"/>
          <w:bCs/>
          <w:color w:val="auto"/>
          <w:sz w:val="32"/>
          <w:szCs w:val="32"/>
        </w:rPr>
        <w:t>（三）激励约束。绩效评价结果应与预算安排、政策调整、改进管理实质性挂钩，体现奖优罚劣和激励相容导向，有效要安排、低效要压减、无效要问责。</w:t>
      </w:r>
    </w:p>
    <w:p>
      <w:pPr>
        <w:spacing w:line="600" w:lineRule="exact"/>
        <w:ind w:firstLine="640"/>
        <w:rPr>
          <w:color w:val="auto"/>
        </w:rPr>
      </w:pPr>
      <w:r>
        <w:rPr>
          <w:rFonts w:hint="eastAsia" w:ascii="仿宋_GB2312"/>
          <w:bCs/>
          <w:color w:val="auto"/>
          <w:sz w:val="32"/>
          <w:szCs w:val="32"/>
        </w:rPr>
        <w:t>（四）公开透明。绩效评价结果应依法依规公开，并自觉接受社会监督。）</w:t>
      </w:r>
    </w:p>
    <w:p>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color w:val="auto"/>
          <w:spacing w:val="0"/>
          <w:sz w:val="31"/>
          <w:szCs w:val="31"/>
        </w:rPr>
      </w:pPr>
      <w:r>
        <w:rPr>
          <w:rFonts w:hint="default" w:ascii="Times New Roman" w:hAnsi="Times New Roman" w:eastAsia="方正仿宋_GBK" w:cs="Times New Roman"/>
          <w:color w:val="auto"/>
          <w:spacing w:val="0"/>
          <w:sz w:val="31"/>
          <w:szCs w:val="31"/>
        </w:rPr>
        <w:t>2、评价指标体系（附表说明）</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pacing w:val="0"/>
          <w:sz w:val="31"/>
          <w:szCs w:val="31"/>
        </w:rPr>
      </w:pPr>
      <w:r>
        <w:rPr>
          <w:rFonts w:hint="default" w:ascii="Times New Roman" w:hAnsi="Times New Roman" w:eastAsia="方正仿宋_GBK" w:cs="Times New Roman"/>
          <w:bCs/>
          <w:color w:val="auto"/>
          <w:spacing w:val="0"/>
          <w:sz w:val="31"/>
          <w:szCs w:val="31"/>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auto"/>
          <w:spacing w:val="0"/>
          <w:sz w:val="31"/>
          <w:szCs w:val="31"/>
        </w:rPr>
      </w:pPr>
      <w:r>
        <w:rPr>
          <w:rFonts w:hint="default" w:ascii="Times New Roman" w:hAnsi="Times New Roman" w:eastAsia="方正仿宋_GBK" w:cs="Times New Roman"/>
          <w:color w:val="auto"/>
          <w:spacing w:val="0"/>
          <w:sz w:val="31"/>
          <w:szCs w:val="31"/>
        </w:rPr>
        <w:t>（1）确定评价指标</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pacing w:val="0"/>
          <w:sz w:val="31"/>
          <w:szCs w:val="31"/>
        </w:rPr>
      </w:pPr>
      <w:r>
        <w:rPr>
          <w:rFonts w:hint="default" w:ascii="Times New Roman" w:hAnsi="Times New Roman" w:eastAsia="方正仿宋_GBK" w:cs="Times New Roman"/>
          <w:bCs/>
          <w:color w:val="auto"/>
          <w:spacing w:val="0"/>
          <w:sz w:val="31"/>
          <w:szCs w:val="31"/>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auto"/>
          <w:spacing w:val="0"/>
          <w:sz w:val="31"/>
          <w:szCs w:val="31"/>
        </w:rPr>
      </w:pPr>
      <w:r>
        <w:rPr>
          <w:rFonts w:hint="default" w:ascii="Times New Roman" w:hAnsi="Times New Roman" w:eastAsia="方正仿宋_GBK" w:cs="Times New Roman"/>
          <w:color w:val="auto"/>
          <w:spacing w:val="0"/>
          <w:sz w:val="31"/>
          <w:szCs w:val="31"/>
        </w:rPr>
        <w:t>（2）确定权重</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pacing w:val="0"/>
          <w:sz w:val="31"/>
          <w:szCs w:val="31"/>
          <w:lang w:eastAsia="zh-CN"/>
        </w:rPr>
      </w:pPr>
      <w:r>
        <w:rPr>
          <w:rFonts w:hint="default" w:ascii="Times New Roman" w:hAnsi="Times New Roman" w:eastAsia="方正仿宋_GBK" w:cs="Times New Roman"/>
          <w:bCs/>
          <w:color w:val="auto"/>
          <w:spacing w:val="0"/>
          <w:sz w:val="31"/>
          <w:szCs w:val="31"/>
        </w:rPr>
        <w:t>确定各个指标相对于项目总体绩效的权重分值。在绩效评价指标体系中，项目决策</w:t>
      </w:r>
      <w:r>
        <w:rPr>
          <w:rFonts w:hint="default" w:ascii="Times New Roman" w:hAnsi="Times New Roman" w:eastAsia="方正仿宋_GBK" w:cs="Times New Roman"/>
          <w:bCs/>
          <w:color w:val="auto"/>
          <w:spacing w:val="0"/>
          <w:sz w:val="31"/>
          <w:szCs w:val="31"/>
          <w:lang w:val="en-US" w:eastAsia="zh-CN"/>
        </w:rPr>
        <w:t>权重</w:t>
      </w:r>
      <w:r>
        <w:rPr>
          <w:rFonts w:hint="eastAsia" w:ascii="Times New Roman" w:hAnsi="Times New Roman" w:eastAsia="方正仿宋_GBK" w:cs="Times New Roman"/>
          <w:bCs/>
          <w:color w:val="auto"/>
          <w:spacing w:val="0"/>
          <w:sz w:val="31"/>
          <w:szCs w:val="31"/>
          <w:lang w:val="en-US" w:eastAsia="zh-CN"/>
        </w:rPr>
        <w:t>35</w:t>
      </w:r>
      <w:r>
        <w:rPr>
          <w:rFonts w:hint="default" w:ascii="Times New Roman" w:hAnsi="Times New Roman" w:eastAsia="方正仿宋_GBK" w:cs="Times New Roman"/>
          <w:bCs/>
          <w:color w:val="auto"/>
          <w:spacing w:val="0"/>
          <w:sz w:val="31"/>
          <w:szCs w:val="31"/>
          <w:lang w:val="en-US" w:eastAsia="zh-CN"/>
        </w:rPr>
        <w:t>分，</w:t>
      </w:r>
      <w:r>
        <w:rPr>
          <w:rFonts w:hint="default" w:ascii="Times New Roman" w:hAnsi="Times New Roman" w:eastAsia="方正仿宋_GBK" w:cs="Times New Roman"/>
          <w:bCs/>
          <w:color w:val="auto"/>
          <w:spacing w:val="0"/>
          <w:sz w:val="31"/>
          <w:szCs w:val="31"/>
        </w:rPr>
        <w:t>项目过程权重为2</w:t>
      </w:r>
      <w:r>
        <w:rPr>
          <w:rFonts w:hint="eastAsia" w:ascii="Times New Roman" w:hAnsi="Times New Roman" w:eastAsia="方正仿宋_GBK" w:cs="Times New Roman"/>
          <w:bCs/>
          <w:color w:val="auto"/>
          <w:spacing w:val="0"/>
          <w:sz w:val="31"/>
          <w:szCs w:val="31"/>
          <w:lang w:val="en-US" w:eastAsia="zh-CN"/>
        </w:rPr>
        <w:t>5</w:t>
      </w:r>
      <w:r>
        <w:rPr>
          <w:rFonts w:hint="default" w:ascii="Times New Roman" w:hAnsi="Times New Roman" w:eastAsia="方正仿宋_GBK" w:cs="Times New Roman"/>
          <w:bCs/>
          <w:color w:val="auto"/>
          <w:spacing w:val="0"/>
          <w:sz w:val="31"/>
          <w:szCs w:val="31"/>
        </w:rPr>
        <w:t>分，项目产出权重为</w:t>
      </w:r>
      <w:r>
        <w:rPr>
          <w:rFonts w:hint="eastAsia" w:ascii="Times New Roman" w:hAnsi="Times New Roman" w:eastAsia="方正仿宋_GBK" w:cs="Times New Roman"/>
          <w:bCs/>
          <w:color w:val="auto"/>
          <w:spacing w:val="0"/>
          <w:sz w:val="31"/>
          <w:szCs w:val="31"/>
          <w:lang w:val="en-US" w:eastAsia="zh-CN"/>
        </w:rPr>
        <w:t>30</w:t>
      </w:r>
      <w:r>
        <w:rPr>
          <w:rFonts w:hint="default" w:ascii="Times New Roman" w:hAnsi="Times New Roman" w:eastAsia="方正仿宋_GBK" w:cs="Times New Roman"/>
          <w:bCs/>
          <w:color w:val="auto"/>
          <w:spacing w:val="0"/>
          <w:sz w:val="31"/>
          <w:szCs w:val="31"/>
        </w:rPr>
        <w:t>分，项目效益权重为</w:t>
      </w:r>
      <w:r>
        <w:rPr>
          <w:rFonts w:hint="eastAsia" w:ascii="Times New Roman" w:hAnsi="Times New Roman" w:eastAsia="方正仿宋_GBK" w:cs="Times New Roman"/>
          <w:bCs/>
          <w:color w:val="auto"/>
          <w:spacing w:val="0"/>
          <w:sz w:val="31"/>
          <w:szCs w:val="31"/>
          <w:lang w:val="en-US" w:eastAsia="zh-CN"/>
        </w:rPr>
        <w:t>10</w:t>
      </w:r>
      <w:r>
        <w:rPr>
          <w:rFonts w:hint="default" w:ascii="Times New Roman" w:hAnsi="Times New Roman" w:eastAsia="方正仿宋_GBK" w:cs="Times New Roman"/>
          <w:bCs/>
          <w:color w:val="auto"/>
          <w:spacing w:val="0"/>
          <w:sz w:val="31"/>
          <w:szCs w:val="31"/>
        </w:rPr>
        <w:t>分。</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auto"/>
          <w:spacing w:val="0"/>
          <w:sz w:val="31"/>
          <w:szCs w:val="31"/>
        </w:rPr>
      </w:pPr>
      <w:r>
        <w:rPr>
          <w:rFonts w:hint="default" w:ascii="Times New Roman" w:hAnsi="Times New Roman" w:eastAsia="方正仿宋_GBK" w:cs="Times New Roman"/>
          <w:color w:val="auto"/>
          <w:spacing w:val="0"/>
          <w:sz w:val="31"/>
          <w:szCs w:val="31"/>
        </w:rPr>
        <w:t>（3）确定指标标准值</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auto"/>
          <w:spacing w:val="0"/>
          <w:sz w:val="31"/>
          <w:szCs w:val="31"/>
        </w:rPr>
      </w:pPr>
      <w:r>
        <w:rPr>
          <w:rFonts w:hint="default" w:ascii="Times New Roman" w:hAnsi="Times New Roman" w:eastAsia="方正仿宋_GBK" w:cs="Times New Roman"/>
          <w:color w:val="auto"/>
          <w:spacing w:val="0"/>
          <w:sz w:val="31"/>
          <w:szCs w:val="31"/>
        </w:rPr>
        <w:t>指标标准值是绩效评价指标的尺度，既要反映同类项目的先进水平，又要符合项目的实际绩效水平。具体采用计划标准</w:t>
      </w:r>
      <w:r>
        <w:rPr>
          <w:rFonts w:hint="eastAsia" w:eastAsia="方正仿宋_GBK" w:cs="Times New Roman"/>
          <w:color w:val="auto"/>
          <w:spacing w:val="0"/>
          <w:sz w:val="31"/>
          <w:szCs w:val="31"/>
          <w:lang w:val="en-US" w:eastAsia="zh-CN"/>
        </w:rPr>
        <w:t>和</w:t>
      </w:r>
      <w:r>
        <w:rPr>
          <w:rFonts w:hint="default" w:ascii="Times New Roman" w:hAnsi="Times New Roman" w:eastAsia="方正仿宋_GBK" w:cs="Times New Roman"/>
          <w:color w:val="auto"/>
          <w:spacing w:val="0"/>
          <w:sz w:val="31"/>
          <w:szCs w:val="31"/>
          <w:lang w:val="en-US" w:eastAsia="zh-CN"/>
        </w:rPr>
        <w:t>行业标准</w:t>
      </w:r>
      <w:r>
        <w:rPr>
          <w:rFonts w:hint="default" w:ascii="Times New Roman" w:hAnsi="Times New Roman" w:eastAsia="方正仿宋_GBK" w:cs="Times New Roman"/>
          <w:color w:val="auto"/>
          <w:spacing w:val="0"/>
          <w:sz w:val="31"/>
          <w:szCs w:val="31"/>
        </w:rPr>
        <w:t>确定此次绩效评价指标标准值。</w:t>
      </w:r>
    </w:p>
    <w:p>
      <w:pPr>
        <w:pStyle w:val="2"/>
        <w:pageBreakBefore w:val="0"/>
        <w:kinsoku/>
        <w:wordWrap/>
        <w:overflowPunct/>
        <w:topLinePunct w:val="0"/>
        <w:autoSpaceDE/>
        <w:autoSpaceDN/>
        <w:bidi w:val="0"/>
        <w:adjustRightInd/>
        <w:snapToGrid/>
        <w:spacing w:before="0" w:after="0" w:line="560" w:lineRule="exact"/>
        <w:ind w:firstLine="620" w:firstLineChars="200"/>
        <w:jc w:val="both"/>
        <w:textAlignment w:val="auto"/>
        <w:rPr>
          <w:rFonts w:hint="default" w:ascii="Times New Roman" w:hAnsi="Times New Roman" w:eastAsia="方正仿宋_GBK" w:cs="Times New Roman"/>
          <w:b w:val="0"/>
          <w:bCs w:val="0"/>
          <w:color w:val="auto"/>
          <w:spacing w:val="0"/>
          <w:kern w:val="2"/>
          <w:sz w:val="31"/>
          <w:szCs w:val="31"/>
        </w:rPr>
      </w:pPr>
      <w:r>
        <w:rPr>
          <w:rFonts w:hint="default" w:ascii="Times New Roman" w:hAnsi="Times New Roman" w:eastAsia="方正仿宋_GBK" w:cs="Times New Roman"/>
          <w:b w:val="0"/>
          <w:bCs w:val="0"/>
          <w:color w:val="auto"/>
          <w:spacing w:val="0"/>
          <w:kern w:val="2"/>
          <w:sz w:val="31"/>
          <w:szCs w:val="31"/>
        </w:rPr>
        <w:t>绩效评价总分值</w:t>
      </w:r>
      <w:r>
        <w:rPr>
          <w:rFonts w:hint="default" w:ascii="Times New Roman" w:hAnsi="Times New Roman" w:eastAsia="方正仿宋_GBK" w:cs="Times New Roman"/>
          <w:b w:val="0"/>
          <w:bCs w:val="0"/>
          <w:color w:val="auto"/>
          <w:spacing w:val="0"/>
          <w:kern w:val="2"/>
          <w:sz w:val="31"/>
          <w:szCs w:val="31"/>
          <w:lang w:val="en-US" w:eastAsia="zh-CN"/>
        </w:rPr>
        <w:t>100</w:t>
      </w:r>
      <w:r>
        <w:rPr>
          <w:rFonts w:hint="default" w:ascii="Times New Roman" w:hAnsi="Times New Roman" w:eastAsia="方正仿宋_GBK" w:cs="Times New Roman"/>
          <w:b w:val="0"/>
          <w:bCs w:val="0"/>
          <w:color w:val="auto"/>
          <w:spacing w:val="0"/>
          <w:kern w:val="2"/>
          <w:sz w:val="31"/>
          <w:szCs w:val="31"/>
        </w:rPr>
        <w:t>分，根据综合评分结果，评价计分90分-100分（含90分）对应的评分结果级别为优，80-90分（含80分）对应的评分结果级别为良，60-80分（含60分）对应的评分结果级别为中，60分以下对应的评分结果级别为差。</w:t>
      </w:r>
    </w:p>
    <w:p>
      <w:pPr>
        <w:pStyle w:val="4"/>
        <w:spacing w:before="0" w:after="0" w:line="240" w:lineRule="auto"/>
        <w:jc w:val="center"/>
        <w:rPr>
          <w:rFonts w:ascii="Times New Roman" w:hAnsi="Times New Roman" w:eastAsia="仿宋_GB2312" w:cs="Times New Roman"/>
          <w:b w:val="0"/>
          <w:bCs w:val="0"/>
          <w:color w:val="auto"/>
          <w:sz w:val="30"/>
          <w:szCs w:val="24"/>
        </w:rPr>
      </w:pPr>
      <w:r>
        <w:rPr>
          <w:rFonts w:hint="eastAsia" w:ascii="Times New Roman" w:hAnsi="Times New Roman" w:eastAsia="仿宋_GB2312" w:cs="Times New Roman"/>
          <w:b w:val="0"/>
          <w:bCs w:val="0"/>
          <w:color w:val="auto"/>
          <w:sz w:val="30"/>
          <w:szCs w:val="24"/>
        </w:rPr>
        <w:t>2023年新时代廉洁文化建设经费项目支出绩效评价指标体系</w:t>
      </w:r>
    </w:p>
    <w:tbl>
      <w:tblPr>
        <w:tblStyle w:val="7"/>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auto"/>
                <w:kern w:val="0"/>
                <w:sz w:val="22"/>
              </w:rPr>
            </w:pPr>
            <w:r>
              <w:rPr>
                <w:rFonts w:hint="eastAsia" w:ascii="宋体" w:hAnsi="宋体" w:eastAsia="宋体" w:cs="宋体"/>
                <w:b/>
                <w:bCs/>
                <w:color w:val="auto"/>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auto"/>
                <w:kern w:val="0"/>
                <w:sz w:val="22"/>
              </w:rPr>
            </w:pPr>
            <w:r>
              <w:rPr>
                <w:rFonts w:hint="eastAsia" w:ascii="宋体" w:hAnsi="宋体" w:eastAsia="宋体" w:cs="宋体"/>
                <w:b/>
                <w:bCs/>
                <w:color w:val="auto"/>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auto"/>
                <w:kern w:val="0"/>
                <w:sz w:val="22"/>
              </w:rPr>
            </w:pPr>
            <w:r>
              <w:rPr>
                <w:rFonts w:hint="eastAsia" w:ascii="宋体" w:hAnsi="宋体" w:eastAsia="宋体" w:cs="宋体"/>
                <w:b/>
                <w:bCs/>
                <w:color w:val="auto"/>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auto"/>
                <w:kern w:val="0"/>
                <w:sz w:val="22"/>
              </w:rPr>
            </w:pPr>
            <w:r>
              <w:rPr>
                <w:rFonts w:hint="eastAsia" w:ascii="宋体" w:hAnsi="宋体" w:eastAsia="宋体" w:cs="宋体"/>
                <w:b/>
                <w:bCs/>
                <w:color w:val="auto"/>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auto"/>
                <w:kern w:val="0"/>
                <w:sz w:val="22"/>
              </w:rPr>
            </w:pPr>
            <w:r>
              <w:rPr>
                <w:rFonts w:hint="eastAsia" w:ascii="宋体" w:hAnsi="宋体" w:eastAsia="宋体" w:cs="宋体"/>
                <w:b/>
                <w:bCs/>
                <w:color w:val="auto"/>
                <w:kern w:val="0"/>
                <w:sz w:val="22"/>
              </w:rPr>
              <w:t>分值</w:t>
            </w:r>
          </w:p>
        </w:tc>
        <w:tc>
          <w:tcPr>
            <w:tcW w:w="874" w:type="dxa"/>
            <w:shd w:val="clear" w:color="auto" w:fill="FFFFFF"/>
          </w:tcPr>
          <w:p>
            <w:pPr>
              <w:widowControl/>
              <w:spacing w:line="600" w:lineRule="auto"/>
              <w:jc w:val="center"/>
              <w:rPr>
                <w:rFonts w:ascii="宋体" w:hAnsi="宋体" w:eastAsia="宋体" w:cs="宋体"/>
                <w:b/>
                <w:bCs/>
                <w:color w:val="auto"/>
                <w:kern w:val="0"/>
                <w:sz w:val="22"/>
              </w:rPr>
            </w:pPr>
            <w:r>
              <w:rPr>
                <w:rFonts w:hint="eastAsia" w:ascii="宋体" w:hAnsi="宋体" w:eastAsia="宋体" w:cs="宋体"/>
                <w:b/>
                <w:bCs/>
                <w:color w:val="auto"/>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立项依据</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spacing w:line="600" w:lineRule="auto"/>
              <w:jc w:val="center"/>
              <w:rPr>
                <w:color w:val="auto"/>
              </w:rPr>
            </w:pPr>
            <w:r>
              <w:rPr>
                <w:rFonts w:hint="eastAsia"/>
                <w:color w:val="auto"/>
                <w:lang w:val="en-US" w:eastAsia="zh-CN"/>
              </w:rPr>
              <w:t>10</w:t>
            </w:r>
          </w:p>
        </w:tc>
        <w:tc>
          <w:tcPr>
            <w:tcW w:w="874" w:type="dxa"/>
            <w:tcBorders>
              <w:bottom w:val="single" w:color="auto" w:sz="4" w:space="0"/>
            </w:tcBorders>
            <w:shd w:val="clear" w:color="auto" w:fill="FFFFFF"/>
            <w:vAlign w:val="top"/>
          </w:tcPr>
          <w:p>
            <w:pPr>
              <w:spacing w:line="600" w:lineRule="auto"/>
              <w:jc w:val="center"/>
              <w:rPr>
                <w:color w:val="auto"/>
              </w:rPr>
            </w:pPr>
            <w:r>
              <w:rPr>
                <w:rFonts w:hint="eastAsia"/>
                <w:color w:val="auto"/>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立项程序</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spacing w:line="600" w:lineRule="auto"/>
              <w:jc w:val="center"/>
              <w:rPr>
                <w:color w:val="auto"/>
              </w:rPr>
            </w:pPr>
            <w:r>
              <w:rPr>
                <w:rFonts w:hint="eastAsia"/>
                <w:color w:val="auto"/>
                <w:lang w:val="en-US" w:eastAsia="zh-CN"/>
              </w:rPr>
              <w:t>5</w:t>
            </w:r>
          </w:p>
        </w:tc>
        <w:tc>
          <w:tcPr>
            <w:tcW w:w="874" w:type="dxa"/>
            <w:shd w:val="clear" w:color="auto" w:fill="FFFFFF"/>
            <w:vAlign w:val="top"/>
          </w:tcPr>
          <w:p>
            <w:pPr>
              <w:spacing w:line="600" w:lineRule="auto"/>
              <w:jc w:val="center"/>
              <w:rPr>
                <w:color w:val="auto"/>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绩效目标</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spacing w:line="600" w:lineRule="auto"/>
              <w:jc w:val="center"/>
              <w:rPr>
                <w:color w:val="auto"/>
              </w:rPr>
            </w:pPr>
            <w:r>
              <w:rPr>
                <w:rFonts w:hint="eastAsia"/>
                <w:color w:val="auto"/>
                <w:lang w:val="en-US" w:eastAsia="zh-CN"/>
              </w:rPr>
              <w:t>5</w:t>
            </w:r>
          </w:p>
        </w:tc>
        <w:tc>
          <w:tcPr>
            <w:tcW w:w="874" w:type="dxa"/>
            <w:shd w:val="clear" w:color="000000" w:fill="FFFFFF"/>
            <w:vAlign w:val="top"/>
          </w:tcPr>
          <w:p>
            <w:pPr>
              <w:spacing w:line="600" w:lineRule="auto"/>
              <w:jc w:val="center"/>
              <w:rPr>
                <w:color w:val="auto"/>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绩效指标</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line="600" w:lineRule="auto"/>
              <w:jc w:val="center"/>
              <w:rPr>
                <w:color w:val="auto"/>
              </w:rPr>
            </w:pPr>
            <w:r>
              <w:rPr>
                <w:rFonts w:hint="eastAsia"/>
                <w:color w:val="auto"/>
                <w:lang w:val="en-US" w:eastAsia="zh-CN"/>
              </w:rPr>
              <w:t>5</w:t>
            </w:r>
          </w:p>
        </w:tc>
        <w:tc>
          <w:tcPr>
            <w:tcW w:w="874" w:type="dxa"/>
            <w:tcBorders>
              <w:bottom w:val="single" w:color="auto" w:sz="4" w:space="0"/>
            </w:tcBorders>
            <w:shd w:val="clear" w:color="000000" w:fill="FFFFFF"/>
            <w:vAlign w:val="top"/>
          </w:tcPr>
          <w:p>
            <w:pPr>
              <w:spacing w:line="600" w:lineRule="auto"/>
              <w:jc w:val="center"/>
              <w:rPr>
                <w:color w:val="auto"/>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资金投入</w:t>
            </w:r>
          </w:p>
          <w:p>
            <w:pPr>
              <w:spacing w:line="0" w:lineRule="atLeast"/>
              <w:jc w:val="center"/>
              <w:rPr>
                <w:rFonts w:ascii="宋体" w:hAnsi="宋体" w:cs="宋体"/>
                <w:color w:val="auto"/>
                <w:kern w:val="0"/>
                <w:sz w:val="22"/>
              </w:rPr>
            </w:pPr>
            <w:r>
              <w:rPr>
                <w:rFonts w:hint="eastAsia" w:ascii="宋体" w:hAnsi="宋体" w:cs="宋体"/>
                <w:color w:val="auto"/>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预算编制</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rPr>
                <w:color w:val="auto"/>
              </w:rPr>
            </w:pPr>
            <w:r>
              <w:rPr>
                <w:rFonts w:hint="eastAsia"/>
                <w:color w:val="auto"/>
                <w:lang w:val="en-US" w:eastAsia="zh-CN"/>
              </w:rPr>
              <w:t>5</w:t>
            </w:r>
          </w:p>
        </w:tc>
        <w:tc>
          <w:tcPr>
            <w:tcW w:w="874" w:type="dxa"/>
            <w:tcBorders>
              <w:bottom w:val="single" w:color="auto" w:sz="4" w:space="0"/>
            </w:tcBorders>
            <w:shd w:val="clear" w:color="auto" w:fill="FFFFFF"/>
            <w:vAlign w:val="top"/>
          </w:tcPr>
          <w:p>
            <w:pPr>
              <w:spacing w:line="600" w:lineRule="auto"/>
              <w:jc w:val="center"/>
              <w:rPr>
                <w:color w:val="auto"/>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资金分配</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rPr>
                <w:color w:val="auto"/>
              </w:rPr>
            </w:pPr>
            <w:r>
              <w:rPr>
                <w:rFonts w:hint="eastAsia"/>
                <w:color w:val="auto"/>
                <w:lang w:val="en-US" w:eastAsia="zh-CN"/>
              </w:rPr>
              <w:t>5</w:t>
            </w:r>
          </w:p>
        </w:tc>
        <w:tc>
          <w:tcPr>
            <w:tcW w:w="874" w:type="dxa"/>
            <w:shd w:val="clear" w:color="auto" w:fill="FFFFFF"/>
            <w:vAlign w:val="top"/>
          </w:tcPr>
          <w:p>
            <w:pPr>
              <w:spacing w:line="600" w:lineRule="auto"/>
              <w:jc w:val="center"/>
              <w:rPr>
                <w:color w:val="auto"/>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auto"/>
                <w:kern w:val="0"/>
                <w:sz w:val="22"/>
              </w:rPr>
            </w:pPr>
            <w:r>
              <w:rPr>
                <w:rFonts w:hint="eastAsia" w:ascii="宋体" w:hAnsi="宋体" w:cs="宋体"/>
                <w:color w:val="auto"/>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line="600" w:lineRule="auto"/>
              <w:jc w:val="center"/>
              <w:rPr>
                <w:color w:val="auto"/>
              </w:rPr>
            </w:pPr>
            <w:r>
              <w:rPr>
                <w:rFonts w:hint="eastAsia"/>
                <w:color w:val="auto"/>
                <w:lang w:val="en-US" w:eastAsia="zh-CN"/>
              </w:rPr>
              <w:t>5</w:t>
            </w:r>
          </w:p>
        </w:tc>
        <w:tc>
          <w:tcPr>
            <w:tcW w:w="874" w:type="dxa"/>
            <w:tcBorders>
              <w:bottom w:val="single" w:color="auto" w:sz="4" w:space="0"/>
            </w:tcBorders>
            <w:shd w:val="clear" w:color="000000" w:fill="FFFFFF"/>
            <w:vAlign w:val="top"/>
          </w:tcPr>
          <w:p>
            <w:pPr>
              <w:spacing w:line="600" w:lineRule="auto"/>
              <w:jc w:val="center"/>
              <w:rPr>
                <w:color w:val="auto"/>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continue"/>
            <w:shd w:val="clear" w:color="auto" w:fill="FFFFFF"/>
            <w:vAlign w:val="center"/>
          </w:tcPr>
          <w:p>
            <w:pPr>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pPr>
              <w:spacing w:line="600" w:lineRule="auto"/>
              <w:jc w:val="center"/>
              <w:rPr>
                <w:color w:val="auto"/>
              </w:rPr>
            </w:pPr>
            <w:r>
              <w:rPr>
                <w:rFonts w:hint="eastAsia"/>
                <w:color w:val="auto"/>
                <w:lang w:val="en-US" w:eastAsia="zh-CN"/>
              </w:rPr>
              <w:t>5</w:t>
            </w:r>
          </w:p>
        </w:tc>
        <w:tc>
          <w:tcPr>
            <w:tcW w:w="874" w:type="dxa"/>
            <w:tcBorders>
              <w:bottom w:val="single" w:color="auto" w:sz="4" w:space="0"/>
            </w:tcBorders>
            <w:shd w:val="clear" w:color="auto" w:fill="FFFFFF"/>
            <w:vAlign w:val="top"/>
          </w:tcPr>
          <w:p>
            <w:pPr>
              <w:spacing w:line="600" w:lineRule="auto"/>
              <w:jc w:val="center"/>
              <w:rPr>
                <w:color w:val="auto"/>
              </w:rPr>
            </w:pPr>
            <w:r>
              <w:rPr>
                <w:rFonts w:hint="eastAsia"/>
                <w:color w:val="auto"/>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资金使用</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line="600" w:lineRule="auto"/>
              <w:jc w:val="center"/>
              <w:rPr>
                <w:color w:val="auto"/>
              </w:rPr>
            </w:pPr>
            <w:r>
              <w:rPr>
                <w:rFonts w:hint="eastAsia"/>
                <w:color w:val="auto"/>
                <w:lang w:val="en-US" w:eastAsia="zh-CN"/>
              </w:rPr>
              <w:t>5</w:t>
            </w:r>
          </w:p>
        </w:tc>
        <w:tc>
          <w:tcPr>
            <w:tcW w:w="874" w:type="dxa"/>
            <w:tcBorders>
              <w:bottom w:val="single" w:color="auto" w:sz="4" w:space="0"/>
            </w:tcBorders>
            <w:shd w:val="clear" w:color="000000" w:fill="FFFFFF"/>
            <w:vAlign w:val="top"/>
          </w:tcPr>
          <w:p>
            <w:pPr>
              <w:spacing w:line="600" w:lineRule="auto"/>
              <w:jc w:val="center"/>
              <w:rPr>
                <w:color w:val="auto"/>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auto"/>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组织实施</w:t>
            </w:r>
          </w:p>
          <w:p>
            <w:pPr>
              <w:spacing w:line="0" w:lineRule="atLeast"/>
              <w:jc w:val="center"/>
              <w:rPr>
                <w:rFonts w:ascii="宋体" w:hAnsi="宋体" w:cs="宋体"/>
                <w:color w:val="auto"/>
                <w:kern w:val="0"/>
                <w:sz w:val="22"/>
              </w:rPr>
            </w:pPr>
            <w:r>
              <w:rPr>
                <w:rFonts w:hint="eastAsia" w:ascii="宋体" w:hAnsi="宋体" w:cs="宋体"/>
                <w:color w:val="auto"/>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管理制度</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line="600" w:lineRule="auto"/>
              <w:jc w:val="center"/>
              <w:rPr>
                <w:color w:val="auto"/>
              </w:rPr>
            </w:pPr>
            <w:r>
              <w:rPr>
                <w:rFonts w:hint="eastAsia"/>
                <w:color w:val="auto"/>
                <w:lang w:val="en-US" w:eastAsia="zh-CN"/>
              </w:rPr>
              <w:t>5</w:t>
            </w:r>
          </w:p>
        </w:tc>
        <w:tc>
          <w:tcPr>
            <w:tcW w:w="874" w:type="dxa"/>
            <w:tcBorders>
              <w:bottom w:val="single" w:color="auto" w:sz="4" w:space="0"/>
            </w:tcBorders>
            <w:shd w:val="clear" w:color="000000" w:fill="FFFFFF"/>
            <w:vAlign w:val="top"/>
          </w:tcPr>
          <w:p>
            <w:pPr>
              <w:spacing w:line="600" w:lineRule="auto"/>
              <w:jc w:val="center"/>
              <w:rPr>
                <w:color w:val="auto"/>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制度执行</w:t>
            </w:r>
          </w:p>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line="600" w:lineRule="auto"/>
              <w:jc w:val="center"/>
              <w:rPr>
                <w:color w:val="auto"/>
              </w:rPr>
            </w:pPr>
            <w:r>
              <w:rPr>
                <w:rFonts w:hint="eastAsia"/>
                <w:color w:val="auto"/>
                <w:lang w:val="en-US" w:eastAsia="zh-CN"/>
              </w:rPr>
              <w:t>5</w:t>
            </w:r>
          </w:p>
        </w:tc>
        <w:tc>
          <w:tcPr>
            <w:tcW w:w="874" w:type="dxa"/>
            <w:tcBorders>
              <w:bottom w:val="single" w:color="auto" w:sz="4" w:space="0"/>
            </w:tcBorders>
            <w:shd w:val="clear" w:color="000000" w:fill="FFFFFF"/>
            <w:vAlign w:val="top"/>
          </w:tcPr>
          <w:p>
            <w:pPr>
              <w:spacing w:line="600" w:lineRule="auto"/>
              <w:jc w:val="center"/>
              <w:rPr>
                <w:color w:val="auto"/>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w:t>
            </w:r>
          </w:p>
        </w:tc>
        <w:tc>
          <w:tcPr>
            <w:tcW w:w="1478" w:type="dxa"/>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spacing w:line="600" w:lineRule="auto"/>
              <w:jc w:val="center"/>
              <w:rPr>
                <w:color w:val="auto"/>
              </w:rPr>
            </w:pPr>
            <w:r>
              <w:rPr>
                <w:rFonts w:hint="eastAsia"/>
                <w:color w:val="auto"/>
                <w:lang w:val="en-US" w:eastAsia="zh-CN"/>
              </w:rPr>
              <w:t>10</w:t>
            </w:r>
          </w:p>
        </w:tc>
        <w:tc>
          <w:tcPr>
            <w:tcW w:w="874" w:type="dxa"/>
            <w:shd w:val="clear" w:color="000000" w:fill="FFFFFF"/>
            <w:vAlign w:val="top"/>
          </w:tcPr>
          <w:p>
            <w:pPr>
              <w:spacing w:line="600" w:lineRule="auto"/>
              <w:jc w:val="center"/>
              <w:rPr>
                <w:color w:val="auto"/>
              </w:rPr>
            </w:pPr>
            <w:r>
              <w:rPr>
                <w:rFonts w:hint="eastAsia"/>
                <w:color w:val="auto"/>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line="600" w:lineRule="auto"/>
              <w:jc w:val="center"/>
              <w:rPr>
                <w:color w:val="auto"/>
              </w:rPr>
            </w:pPr>
            <w:r>
              <w:rPr>
                <w:rFonts w:hint="eastAsia"/>
                <w:color w:val="auto"/>
                <w:lang w:val="en-US" w:eastAsia="zh-CN"/>
              </w:rPr>
              <w:t>10</w:t>
            </w:r>
          </w:p>
        </w:tc>
        <w:tc>
          <w:tcPr>
            <w:tcW w:w="874" w:type="dxa"/>
            <w:shd w:val="clear" w:color="000000" w:fill="FFFFFF"/>
            <w:vAlign w:val="top"/>
          </w:tcPr>
          <w:p>
            <w:pPr>
              <w:spacing w:line="600" w:lineRule="auto"/>
              <w:jc w:val="center"/>
              <w:rPr>
                <w:color w:val="auto"/>
              </w:rPr>
            </w:pPr>
            <w:r>
              <w:rPr>
                <w:rFonts w:hint="eastAsia"/>
                <w:color w:val="auto"/>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hint="default" w:ascii="宋体" w:hAnsi="宋体" w:eastAsia="仿宋_GB2312" w:cs="宋体"/>
                <w:color w:val="auto"/>
                <w:kern w:val="0"/>
                <w:sz w:val="22"/>
                <w:lang w:val="en-US" w:eastAsia="zh-CN"/>
              </w:rPr>
            </w:pPr>
            <w:r>
              <w:rPr>
                <w:rFonts w:hint="eastAsia" w:ascii="宋体" w:hAnsi="宋体" w:cs="宋体"/>
                <w:color w:val="auto"/>
                <w:kern w:val="0"/>
                <w:sz w:val="22"/>
                <w:lang w:eastAsia="zh-CN"/>
              </w:rPr>
              <w:t xml:space="preserve"> </w:t>
            </w:r>
            <w:r>
              <w:rPr>
                <w:rFonts w:hint="eastAsia" w:ascii="宋体" w:hAnsi="宋体" w:cs="宋体"/>
                <w:color w:val="auto"/>
                <w:kern w:val="0"/>
                <w:sz w:val="22"/>
                <w:lang w:val="en-US" w:eastAsia="zh-CN"/>
              </w:rPr>
              <w:t xml:space="preserve"> </w:t>
            </w:r>
          </w:p>
        </w:tc>
        <w:tc>
          <w:tcPr>
            <w:tcW w:w="1478" w:type="dxa"/>
            <w:shd w:val="clear" w:color="auto" w:fill="FFFFFF"/>
            <w:vAlign w:val="center"/>
          </w:tcPr>
          <w:p>
            <w:pPr>
              <w:spacing w:line="0" w:lineRule="atLeast"/>
              <w:jc w:val="center"/>
              <w:rPr>
                <w:rFonts w:ascii="宋体" w:hAnsi="宋体" w:cs="宋体"/>
                <w:color w:val="auto"/>
                <w:kern w:val="0"/>
                <w:sz w:val="22"/>
              </w:rPr>
            </w:pPr>
            <w:r>
              <w:rPr>
                <w:rFonts w:hint="eastAsia" w:ascii="宋体" w:hAnsi="宋体" w:cs="宋体"/>
                <w:color w:val="auto"/>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line="600" w:lineRule="auto"/>
              <w:jc w:val="center"/>
              <w:rPr>
                <w:color w:val="auto"/>
              </w:rPr>
            </w:pPr>
            <w:r>
              <w:rPr>
                <w:rFonts w:hint="eastAsia"/>
                <w:color w:val="auto"/>
                <w:lang w:val="en-US" w:eastAsia="zh-CN"/>
              </w:rPr>
              <w:t>5</w:t>
            </w:r>
          </w:p>
        </w:tc>
        <w:tc>
          <w:tcPr>
            <w:tcW w:w="874" w:type="dxa"/>
            <w:shd w:val="clear" w:color="000000" w:fill="FFFFFF"/>
            <w:vAlign w:val="top"/>
          </w:tcPr>
          <w:p>
            <w:pPr>
              <w:spacing w:line="600" w:lineRule="auto"/>
              <w:jc w:val="center"/>
              <w:rPr>
                <w:color w:val="auto"/>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line="600" w:lineRule="auto"/>
              <w:jc w:val="center"/>
              <w:rPr>
                <w:color w:val="auto"/>
              </w:rPr>
            </w:pPr>
            <w:r>
              <w:rPr>
                <w:rFonts w:hint="eastAsia"/>
                <w:color w:val="auto"/>
                <w:lang w:val="en-US" w:eastAsia="zh-CN"/>
              </w:rPr>
              <w:t>5</w:t>
            </w:r>
          </w:p>
        </w:tc>
        <w:tc>
          <w:tcPr>
            <w:tcW w:w="874" w:type="dxa"/>
            <w:shd w:val="clear" w:color="auto" w:fill="FFFFFF"/>
            <w:vAlign w:val="top"/>
          </w:tcPr>
          <w:p>
            <w:pPr>
              <w:spacing w:line="600" w:lineRule="auto"/>
              <w:jc w:val="center"/>
              <w:rPr>
                <w:color w:val="auto"/>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项目实施所产生的效益。</w:t>
            </w:r>
          </w:p>
        </w:tc>
        <w:tc>
          <w:tcPr>
            <w:tcW w:w="990" w:type="dxa"/>
            <w:tcBorders>
              <w:left w:val="single" w:color="auto" w:sz="4" w:space="0"/>
            </w:tcBorders>
            <w:shd w:val="clear" w:color="auto" w:fill="FFFFFF"/>
            <w:vAlign w:val="top"/>
          </w:tcPr>
          <w:p>
            <w:pPr>
              <w:spacing w:line="600" w:lineRule="auto"/>
              <w:jc w:val="center"/>
              <w:rPr>
                <w:color w:val="auto"/>
              </w:rPr>
            </w:pPr>
            <w:r>
              <w:rPr>
                <w:rFonts w:hint="eastAsia"/>
                <w:color w:val="auto"/>
                <w:lang w:val="en-US" w:eastAsia="zh-CN"/>
              </w:rPr>
              <w:t>5</w:t>
            </w:r>
          </w:p>
        </w:tc>
        <w:tc>
          <w:tcPr>
            <w:tcW w:w="874" w:type="dxa"/>
            <w:shd w:val="clear" w:color="auto" w:fill="FFFFFF"/>
            <w:vAlign w:val="top"/>
          </w:tcPr>
          <w:p>
            <w:pPr>
              <w:spacing w:line="600" w:lineRule="auto"/>
              <w:jc w:val="center"/>
              <w:rPr>
                <w:color w:val="auto"/>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auto"/>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auto"/>
                <w:kern w:val="0"/>
                <w:sz w:val="22"/>
              </w:rPr>
            </w:pPr>
            <w:r>
              <w:rPr>
                <w:rFonts w:hint="eastAsia" w:ascii="宋体" w:hAnsi="宋体" w:cs="宋体"/>
                <w:color w:val="auto"/>
                <w:kern w:val="0"/>
                <w:sz w:val="22"/>
              </w:rPr>
              <w:t>社会公众或服务对象对项目实施效果的满意程度。</w:t>
            </w:r>
          </w:p>
        </w:tc>
        <w:tc>
          <w:tcPr>
            <w:tcW w:w="990" w:type="dxa"/>
            <w:tcBorders>
              <w:left w:val="single" w:color="auto" w:sz="4" w:space="0"/>
            </w:tcBorders>
            <w:shd w:val="clear" w:color="000000" w:fill="FFFFFF"/>
            <w:vAlign w:val="top"/>
          </w:tcPr>
          <w:p>
            <w:pPr>
              <w:spacing w:line="600" w:lineRule="auto"/>
              <w:jc w:val="center"/>
              <w:rPr>
                <w:color w:val="auto"/>
              </w:rPr>
            </w:pPr>
            <w:r>
              <w:rPr>
                <w:rFonts w:hint="eastAsia"/>
                <w:color w:val="auto"/>
                <w:lang w:val="en-US" w:eastAsia="zh-CN"/>
              </w:rPr>
              <w:t>5</w:t>
            </w:r>
          </w:p>
        </w:tc>
        <w:tc>
          <w:tcPr>
            <w:tcW w:w="874" w:type="dxa"/>
            <w:shd w:val="clear" w:color="000000" w:fill="FFFFFF"/>
            <w:vAlign w:val="top"/>
          </w:tcPr>
          <w:p>
            <w:pPr>
              <w:spacing w:line="600" w:lineRule="auto"/>
              <w:jc w:val="center"/>
              <w:rPr>
                <w:color w:val="auto"/>
              </w:rPr>
            </w:pPr>
            <w:r>
              <w:rPr>
                <w:rFonts w:hint="eastAsia"/>
                <w:color w:va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auto"/>
                <w:kern w:val="0"/>
                <w:sz w:val="22"/>
              </w:rPr>
            </w:pPr>
            <w:r>
              <w:rPr>
                <w:rFonts w:hint="eastAsia" w:ascii="宋体" w:hAnsi="宋体" w:cs="宋体"/>
                <w:b/>
                <w:bCs/>
                <w:color w:val="auto"/>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auto"/>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auto"/>
                <w:kern w:val="0"/>
                <w:sz w:val="22"/>
                <w:lang w:val="en-US" w:eastAsia="zh-CN"/>
              </w:rPr>
            </w:pPr>
            <w:r>
              <w:rPr>
                <w:rFonts w:hint="eastAsia" w:ascii="宋体" w:hAnsi="宋体" w:cs="宋体"/>
                <w:color w:val="auto"/>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auto"/>
                <w:kern w:val="0"/>
                <w:sz w:val="22"/>
                <w:lang w:val="en-US" w:eastAsia="zh-CN"/>
              </w:rPr>
            </w:pPr>
            <w:r>
              <w:rPr>
                <w:rFonts w:hint="eastAsia" w:ascii="宋体" w:hAnsi="宋体" w:cs="宋体"/>
                <w:color w:val="auto"/>
                <w:kern w:val="0"/>
                <w:sz w:val="22"/>
                <w:lang w:val="en-US" w:eastAsia="zh-CN"/>
              </w:rPr>
              <w:t>95</w:t>
            </w:r>
          </w:p>
        </w:tc>
      </w:tr>
    </w:tbl>
    <w:p>
      <w:pPr>
        <w:spacing w:line="360" w:lineRule="auto"/>
        <w:rPr>
          <w:color w:val="auto"/>
        </w:rPr>
      </w:pPr>
      <w:r>
        <w:rPr>
          <w:rFonts w:hint="eastAsia"/>
          <w:color w:val="auto"/>
        </w:rPr>
        <w:t>3、评价方法</w:t>
      </w:r>
    </w:p>
    <w:p>
      <w:pPr>
        <w:spacing w:line="360" w:lineRule="auto"/>
        <w:ind w:firstLine="640" w:firstLineChars="200"/>
        <w:rPr>
          <w:color w:val="auto"/>
        </w:rPr>
      </w:pPr>
      <w:r>
        <w:rPr>
          <w:rFonts w:hint="eastAsia"/>
          <w:bCs/>
          <w:color w:val="auto"/>
          <w:sz w:val="32"/>
          <w:szCs w:val="32"/>
        </w:rPr>
        <w:t>本次项目支出绩效自评</w:t>
      </w:r>
      <w:r>
        <w:rPr>
          <w:rFonts w:hint="eastAsia"/>
          <w:bCs/>
          <w:color w:val="auto"/>
          <w:sz w:val="32"/>
          <w:szCs w:val="32"/>
          <w:highlight w:val="none"/>
        </w:rPr>
        <w:t>采用成本效益分析法方法</w:t>
      </w:r>
      <w:r>
        <w:rPr>
          <w:rFonts w:hint="eastAsia"/>
          <w:bCs/>
          <w:color w:val="auto"/>
          <w:sz w:val="32"/>
          <w:szCs w:val="32"/>
        </w:rPr>
        <w:t>，原因是：</w:t>
      </w:r>
      <w:r>
        <w:rPr>
          <w:rFonts w:hint="eastAsia"/>
          <w:bCs/>
          <w:color w:val="auto"/>
          <w:sz w:val="32"/>
          <w:szCs w:val="32"/>
          <w:lang w:val="en-US" w:eastAsia="zh-CN"/>
        </w:rPr>
        <w:t>在开展项目绩效目标设置工作时，设有成本指标、产出指标、项目效益、满意度指标，结合项目的具体情况，对照七类评价方法，成本效益分析法能较为客观的作出评价。</w:t>
      </w:r>
    </w:p>
    <w:p>
      <w:pPr>
        <w:spacing w:line="360" w:lineRule="auto"/>
        <w:rPr>
          <w:color w:val="auto"/>
        </w:rPr>
      </w:pPr>
      <w:r>
        <w:rPr>
          <w:rFonts w:hint="eastAsia"/>
          <w:color w:val="auto"/>
        </w:rPr>
        <w:t>4、评价标准</w:t>
      </w:r>
    </w:p>
    <w:p>
      <w:pPr>
        <w:spacing w:line="360" w:lineRule="auto"/>
        <w:ind w:firstLine="640" w:firstLineChars="200"/>
        <w:rPr>
          <w:rFonts w:hint="eastAsia" w:eastAsia="仿宋_GB2312"/>
          <w:bCs/>
          <w:color w:val="auto"/>
          <w:sz w:val="32"/>
          <w:szCs w:val="32"/>
          <w:lang w:val="en-US" w:eastAsia="zh-CN"/>
        </w:rPr>
      </w:pPr>
      <w:bookmarkStart w:id="6" w:name="_Toc68703833"/>
      <w:r>
        <w:rPr>
          <w:rFonts w:hint="eastAsia"/>
          <w:bCs/>
          <w:color w:val="auto"/>
          <w:sz w:val="32"/>
          <w:szCs w:val="32"/>
        </w:rPr>
        <w:t>本次项目支出绩效自评</w:t>
      </w:r>
      <w:r>
        <w:rPr>
          <w:rFonts w:hint="eastAsia"/>
          <w:bCs/>
          <w:color w:val="auto"/>
          <w:sz w:val="32"/>
          <w:szCs w:val="32"/>
          <w:highlight w:val="none"/>
        </w:rPr>
        <w:t>采用计划标</w:t>
      </w:r>
      <w:r>
        <w:rPr>
          <w:rFonts w:hint="eastAsia"/>
          <w:bCs/>
          <w:color w:val="auto"/>
          <w:sz w:val="32"/>
          <w:szCs w:val="32"/>
        </w:rPr>
        <w:t>准，原因是：</w:t>
      </w:r>
      <w:r>
        <w:rPr>
          <w:rFonts w:hint="eastAsia"/>
          <w:bCs/>
          <w:color w:val="auto"/>
          <w:sz w:val="32"/>
          <w:szCs w:val="32"/>
          <w:lang w:val="en-US" w:eastAsia="zh-CN"/>
        </w:rPr>
        <w:t>在开展项目绩效目标设置工作时，设有成本指标、产出指标、项目效益、满意度指标，同时设置有具体的三级指标、预期指标值，结合四类评价标准，</w:t>
      </w:r>
      <w:r>
        <w:rPr>
          <w:rFonts w:hint="eastAsia"/>
          <w:bCs/>
          <w:color w:val="auto"/>
          <w:sz w:val="32"/>
          <w:szCs w:val="32"/>
        </w:rPr>
        <w:t>采用</w:t>
      </w:r>
      <w:r>
        <w:rPr>
          <w:rFonts w:hint="eastAsia"/>
          <w:bCs/>
          <w:color w:val="auto"/>
          <w:sz w:val="32"/>
          <w:szCs w:val="32"/>
          <w:highlight w:val="none"/>
        </w:rPr>
        <w:t>计划标</w:t>
      </w:r>
      <w:r>
        <w:rPr>
          <w:rFonts w:hint="eastAsia"/>
          <w:bCs/>
          <w:color w:val="auto"/>
          <w:sz w:val="32"/>
          <w:szCs w:val="32"/>
        </w:rPr>
        <w:t>准</w:t>
      </w:r>
      <w:r>
        <w:rPr>
          <w:rFonts w:hint="eastAsia"/>
          <w:bCs/>
          <w:color w:val="auto"/>
          <w:sz w:val="32"/>
          <w:szCs w:val="32"/>
          <w:lang w:val="en-US" w:eastAsia="zh-CN"/>
        </w:rPr>
        <w:t>可以</w:t>
      </w:r>
      <w:r>
        <w:rPr>
          <w:rFonts w:hint="eastAsia"/>
          <w:bCs/>
          <w:color w:val="auto"/>
          <w:sz w:val="32"/>
          <w:szCs w:val="32"/>
        </w:rPr>
        <w:t>对绩效指标完成情况进行比较。</w:t>
      </w:r>
    </w:p>
    <w:p>
      <w:pPr>
        <w:pStyle w:val="4"/>
        <w:spacing w:line="360" w:lineRule="auto"/>
        <w:rPr>
          <w:rFonts w:ascii="仿宋_GB2312" w:eastAsia="仿宋_GB2312"/>
          <w:b w:val="0"/>
          <w:bCs w:val="0"/>
          <w:color w:val="auto"/>
        </w:rPr>
      </w:pPr>
      <w:r>
        <w:rPr>
          <w:rFonts w:hint="eastAsia" w:ascii="仿宋_GB2312" w:eastAsia="仿宋_GB2312"/>
          <w:b w:val="0"/>
          <w:bCs w:val="0"/>
          <w:color w:val="auto"/>
        </w:rPr>
        <w:t>（三）绩效评价工作过程。</w:t>
      </w:r>
      <w:bookmarkEnd w:id="6"/>
    </w:p>
    <w:p>
      <w:pPr>
        <w:spacing w:line="360" w:lineRule="auto"/>
        <w:rPr>
          <w:color w:val="auto"/>
        </w:rPr>
      </w:pPr>
      <w:r>
        <w:rPr>
          <w:rFonts w:hint="eastAsia"/>
          <w:color w:val="auto"/>
        </w:rPr>
        <w:t>1、前期准备：</w:t>
      </w:r>
    </w:p>
    <w:p>
      <w:pPr>
        <w:spacing w:line="360" w:lineRule="auto"/>
        <w:ind w:firstLine="600" w:firstLineChars="200"/>
        <w:rPr>
          <w:color w:val="auto"/>
        </w:rPr>
      </w:pPr>
      <w:r>
        <w:rPr>
          <w:rFonts w:hint="eastAsia"/>
          <w:color w:val="auto"/>
        </w:rPr>
        <w:t>2</w:t>
      </w:r>
      <w:r>
        <w:rPr>
          <w:color w:val="auto"/>
        </w:rPr>
        <w:t>02</w:t>
      </w:r>
      <w:r>
        <w:rPr>
          <w:rFonts w:hint="eastAsia"/>
          <w:color w:val="auto"/>
          <w:lang w:val="en-US" w:eastAsia="zh-CN"/>
        </w:rPr>
        <w:t>4</w:t>
      </w:r>
      <w:r>
        <w:rPr>
          <w:rFonts w:hint="eastAsia"/>
          <w:color w:val="auto"/>
        </w:rPr>
        <w:t>年</w:t>
      </w:r>
      <w:r>
        <w:rPr>
          <w:rFonts w:hint="eastAsia"/>
          <w:color w:val="auto"/>
          <w:lang w:val="en-US" w:eastAsia="zh-CN"/>
        </w:rPr>
        <w:t>4</w:t>
      </w:r>
      <w:r>
        <w:rPr>
          <w:rFonts w:hint="eastAsia"/>
          <w:color w:val="auto"/>
        </w:rPr>
        <w:t>月</w:t>
      </w:r>
      <w:r>
        <w:rPr>
          <w:rFonts w:hint="eastAsia"/>
          <w:color w:val="auto"/>
          <w:lang w:val="en-US" w:eastAsia="zh-CN"/>
        </w:rPr>
        <w:t>1</w:t>
      </w:r>
      <w:r>
        <w:rPr>
          <w:rFonts w:hint="eastAsia"/>
          <w:color w:val="auto"/>
        </w:rPr>
        <w:t>日，</w:t>
      </w:r>
      <w:r>
        <w:rPr>
          <w:rFonts w:hint="eastAsia" w:ascii="仿宋_GB2312"/>
          <w:color w:val="auto"/>
          <w:lang w:val="zh-CN"/>
        </w:rPr>
        <w:t>开始前期准备工作，评价组通过前期调研</w:t>
      </w:r>
      <w:r>
        <w:rPr>
          <w:rFonts w:hint="eastAsia"/>
          <w:color w:val="auto"/>
        </w:rPr>
        <w:t>确定绩效评价对象和范围，</w:t>
      </w:r>
      <w:r>
        <w:rPr>
          <w:rFonts w:hint="eastAsia" w:ascii="仿宋_GB2312"/>
          <w:color w:val="auto"/>
          <w:lang w:val="zh-CN"/>
        </w:rPr>
        <w:t>确定了评价的目的、方法以及评价的原则，根据项目的内容和特征制定了评价指标体系及评价标准以及评价实施方案，修正并确定所需资料清单，最终确定</w:t>
      </w:r>
      <w:r>
        <w:rPr>
          <w:rFonts w:hint="eastAsia"/>
          <w:color w:val="auto"/>
        </w:rPr>
        <w:t>绩效评价工作方案；</w:t>
      </w:r>
    </w:p>
    <w:p>
      <w:pPr>
        <w:spacing w:line="360" w:lineRule="auto"/>
        <w:rPr>
          <w:color w:val="auto"/>
        </w:rPr>
      </w:pPr>
      <w:r>
        <w:rPr>
          <w:color w:val="auto"/>
        </w:rPr>
        <w:t>2</w:t>
      </w:r>
      <w:r>
        <w:rPr>
          <w:rFonts w:hint="eastAsia"/>
          <w:color w:val="auto"/>
        </w:rPr>
        <w:t>、组织实施：</w:t>
      </w:r>
    </w:p>
    <w:p>
      <w:pPr>
        <w:spacing w:line="360" w:lineRule="auto"/>
        <w:ind w:firstLine="600" w:firstLineChars="200"/>
        <w:rPr>
          <w:color w:val="auto"/>
        </w:rPr>
      </w:pPr>
      <w:r>
        <w:rPr>
          <w:rFonts w:hint="eastAsia"/>
          <w:color w:val="auto"/>
        </w:rPr>
        <w:t>2</w:t>
      </w:r>
      <w:r>
        <w:rPr>
          <w:color w:val="auto"/>
        </w:rPr>
        <w:t>020</w:t>
      </w:r>
      <w:r>
        <w:rPr>
          <w:rFonts w:hint="eastAsia"/>
          <w:color w:val="auto"/>
        </w:rPr>
        <w:t>年</w:t>
      </w:r>
      <w:r>
        <w:rPr>
          <w:rFonts w:hint="eastAsia"/>
          <w:color w:val="auto"/>
          <w:lang w:val="en-US" w:eastAsia="zh-CN"/>
        </w:rPr>
        <w:t>5</w:t>
      </w:r>
      <w:r>
        <w:rPr>
          <w:rFonts w:hint="eastAsia"/>
          <w:color w:val="auto"/>
        </w:rPr>
        <w:t>月</w:t>
      </w:r>
      <w:r>
        <w:rPr>
          <w:rFonts w:hint="eastAsia"/>
          <w:color w:val="auto"/>
          <w:lang w:val="en-US" w:eastAsia="zh-CN"/>
        </w:rPr>
        <w:t>1</w:t>
      </w:r>
      <w:r>
        <w:rPr>
          <w:rFonts w:hint="eastAsia"/>
          <w:color w:val="auto"/>
        </w:rPr>
        <w:t>日-</w:t>
      </w:r>
      <w:r>
        <w:rPr>
          <w:color w:val="auto"/>
        </w:rPr>
        <w:t xml:space="preserve"> </w:t>
      </w:r>
      <w:r>
        <w:rPr>
          <w:rFonts w:hint="eastAsia"/>
          <w:color w:val="auto"/>
          <w:lang w:val="en-US" w:eastAsia="zh-CN"/>
        </w:rPr>
        <w:t>5</w:t>
      </w:r>
      <w:r>
        <w:rPr>
          <w:rFonts w:hint="eastAsia"/>
          <w:color w:val="auto"/>
        </w:rPr>
        <w:t>月</w:t>
      </w:r>
      <w:r>
        <w:rPr>
          <w:rFonts w:hint="eastAsia"/>
          <w:color w:val="auto"/>
          <w:lang w:val="en-US" w:eastAsia="zh-CN"/>
        </w:rPr>
        <w:t>15</w:t>
      </w:r>
      <w:r>
        <w:rPr>
          <w:rFonts w:hint="eastAsia"/>
          <w:color w:val="auto"/>
        </w:rPr>
        <w:t>日，</w:t>
      </w:r>
      <w:r>
        <w:rPr>
          <w:rFonts w:hint="eastAsia" w:ascii="仿宋_GB2312"/>
          <w:color w:val="auto"/>
        </w:rPr>
        <w:t>评价工作进入实施阶段，评价组</w:t>
      </w:r>
      <w:r>
        <w:rPr>
          <w:rFonts w:hint="eastAsia"/>
          <w:color w:val="auto"/>
        </w:rPr>
        <w:t>收集绩效评价相关数据资料，进行现场调研、座谈；并</w:t>
      </w:r>
      <w:r>
        <w:rPr>
          <w:rFonts w:hint="eastAsia" w:ascii="仿宋_GB2312"/>
          <w:color w:val="auto"/>
        </w:rPr>
        <w:t>与项目实施负责人沟通，了解资金的内容、操作流程、管理机制、资金使用方向等情况</w:t>
      </w:r>
      <w:r>
        <w:rPr>
          <w:rFonts w:hint="eastAsia"/>
          <w:color w:val="auto"/>
        </w:rPr>
        <w:t>，</w:t>
      </w:r>
      <w:r>
        <w:rPr>
          <w:color w:val="auto"/>
        </w:rPr>
        <w:t>分析</w:t>
      </w:r>
      <w:r>
        <w:rPr>
          <w:rFonts w:hint="eastAsia"/>
          <w:color w:val="auto"/>
        </w:rPr>
        <w:t>形成初步结论。</w:t>
      </w:r>
      <w:r>
        <w:rPr>
          <w:color w:val="auto"/>
        </w:rPr>
        <w:t xml:space="preserve"> </w:t>
      </w:r>
    </w:p>
    <w:p>
      <w:pPr>
        <w:spacing w:line="360" w:lineRule="auto"/>
        <w:rPr>
          <w:color w:val="auto"/>
        </w:rPr>
      </w:pPr>
      <w:r>
        <w:rPr>
          <w:rFonts w:hint="eastAsia"/>
          <w:color w:val="auto"/>
        </w:rPr>
        <w:t>3、分析评价：</w:t>
      </w:r>
    </w:p>
    <w:p>
      <w:pPr>
        <w:spacing w:line="360" w:lineRule="auto"/>
        <w:ind w:firstLine="600" w:firstLineChars="200"/>
        <w:rPr>
          <w:rFonts w:hint="eastAsia"/>
          <w:color w:val="auto"/>
        </w:rPr>
      </w:pPr>
      <w:r>
        <w:rPr>
          <w:rFonts w:hint="eastAsia"/>
          <w:color w:val="auto"/>
        </w:rPr>
        <w:t>202</w:t>
      </w:r>
      <w:r>
        <w:rPr>
          <w:rFonts w:hint="eastAsia"/>
          <w:color w:val="auto"/>
          <w:lang w:val="en-US" w:eastAsia="zh-CN"/>
        </w:rPr>
        <w:t>4</w:t>
      </w:r>
      <w:r>
        <w:rPr>
          <w:rFonts w:hint="eastAsia"/>
          <w:color w:val="auto"/>
        </w:rPr>
        <w:t>年</w:t>
      </w:r>
      <w:r>
        <w:rPr>
          <w:rFonts w:hint="eastAsia"/>
          <w:color w:val="auto"/>
          <w:lang w:val="en-US" w:eastAsia="zh-CN"/>
        </w:rPr>
        <w:t>5</w:t>
      </w:r>
      <w:r>
        <w:rPr>
          <w:rFonts w:hint="eastAsia"/>
          <w:color w:val="auto"/>
        </w:rPr>
        <w:t>月</w:t>
      </w:r>
      <w:r>
        <w:rPr>
          <w:rFonts w:hint="eastAsia"/>
          <w:color w:val="auto"/>
          <w:lang w:val="en-US" w:eastAsia="zh-CN"/>
        </w:rPr>
        <w:t>15</w:t>
      </w:r>
      <w:r>
        <w:rPr>
          <w:rFonts w:hint="eastAsia"/>
          <w:color w:val="auto"/>
        </w:rPr>
        <w:t>日-</w:t>
      </w:r>
      <w:r>
        <w:rPr>
          <w:color w:val="auto"/>
        </w:rPr>
        <w:t xml:space="preserve"> </w:t>
      </w:r>
      <w:r>
        <w:rPr>
          <w:rFonts w:hint="eastAsia"/>
          <w:color w:val="auto"/>
          <w:lang w:val="en-US" w:eastAsia="zh-CN"/>
        </w:rPr>
        <w:t>5</w:t>
      </w:r>
      <w:r>
        <w:rPr>
          <w:rFonts w:hint="eastAsia"/>
          <w:color w:val="auto"/>
        </w:rPr>
        <w:t>月</w:t>
      </w:r>
      <w:r>
        <w:rPr>
          <w:rFonts w:hint="eastAsia"/>
          <w:color w:val="auto"/>
          <w:lang w:val="en-US" w:eastAsia="zh-CN"/>
        </w:rPr>
        <w:t>22</w:t>
      </w:r>
      <w:r>
        <w:rPr>
          <w:rFonts w:hint="eastAsia"/>
          <w:color w:val="auto"/>
        </w:rPr>
        <w:t>日，评价组按照绩效评价的原则和规范，对取得的资料进行审查核实，对采集的数据进行分析，按照绩效评价指标评分表逐项进行打分、分析，汇总各方评价结果，综合分析并形成评价结论。</w:t>
      </w:r>
      <w:bookmarkStart w:id="7" w:name="_Toc68703834"/>
    </w:p>
    <w:p>
      <w:pPr>
        <w:spacing w:line="360" w:lineRule="auto"/>
        <w:ind w:firstLine="640" w:firstLineChars="200"/>
        <w:rPr>
          <w:rFonts w:ascii="宋体" w:hAnsi="宋体" w:eastAsia="宋体"/>
          <w:color w:val="auto"/>
          <w:sz w:val="32"/>
          <w:szCs w:val="32"/>
        </w:rPr>
      </w:pPr>
      <w:r>
        <w:rPr>
          <w:rFonts w:hint="eastAsia" w:ascii="宋体" w:hAnsi="宋体" w:eastAsia="宋体"/>
          <w:color w:val="auto"/>
          <w:sz w:val="32"/>
          <w:szCs w:val="32"/>
        </w:rPr>
        <w:t>三、综合评价情况及评价结论</w:t>
      </w:r>
      <w:bookmarkEnd w:id="7"/>
    </w:p>
    <w:p>
      <w:pPr>
        <w:pStyle w:val="4"/>
        <w:spacing w:line="360" w:lineRule="auto"/>
        <w:rPr>
          <w:rFonts w:ascii="仿宋_GB2312" w:eastAsia="仿宋_GB2312"/>
          <w:b w:val="0"/>
          <w:bCs w:val="0"/>
          <w:color w:val="auto"/>
        </w:rPr>
      </w:pPr>
      <w:bookmarkStart w:id="8" w:name="_Toc68703835"/>
      <w:r>
        <w:rPr>
          <w:rFonts w:hint="eastAsia" w:ascii="仿宋_GB2312" w:eastAsia="仿宋_GB2312"/>
          <w:b w:val="0"/>
          <w:bCs w:val="0"/>
          <w:color w:val="auto"/>
        </w:rPr>
        <w:t>（一）综合评价情况</w:t>
      </w:r>
      <w:bookmarkEnd w:id="8"/>
    </w:p>
    <w:p>
      <w:pPr>
        <w:spacing w:line="360" w:lineRule="auto"/>
        <w:ind w:firstLine="600" w:firstLineChars="200"/>
        <w:jc w:val="center"/>
        <w:rPr>
          <w:color w:val="auto"/>
        </w:rPr>
      </w:pPr>
      <w:r>
        <w:rPr>
          <w:rFonts w:hint="eastAsia"/>
          <w:color w:val="auto"/>
        </w:rPr>
        <w:t>本项目严格按照科学公正、统筹兼顾、公开透明绩效评价原则，采用成本效益分析法评价方法，坚持计划标准绩效评价标准对本项目的立项、项绩效目标、资金投入、资金管理、组织实施、产出数量、产出质量、产出时效、产出成本、项目效益进行了综合评价。2023年新时代廉洁文化建设经费项目评价得分情况</w:t>
      </w:r>
    </w:p>
    <w:tbl>
      <w:tblPr>
        <w:tblStyle w:val="7"/>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auto"/>
                <w:sz w:val="22"/>
              </w:rPr>
            </w:pPr>
            <w:r>
              <w:rPr>
                <w:rFonts w:hint="eastAsia"/>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auto"/>
                <w:sz w:val="22"/>
              </w:rPr>
            </w:pPr>
            <w:r>
              <w:rPr>
                <w:rFonts w:hint="eastAsia"/>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auto"/>
                <w:sz w:val="22"/>
              </w:rPr>
            </w:pPr>
            <w:r>
              <w:rPr>
                <w:rFonts w:hint="eastAsia"/>
                <w:b/>
                <w:bCs/>
                <w:color w:val="auto"/>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lang w:val="en-US" w:eastAsia="zh-CN"/>
              </w:rPr>
              <w:t>35</w:t>
            </w:r>
          </w:p>
        </w:tc>
        <w:tc>
          <w:tcPr>
            <w:tcW w:w="2278" w:type="dxa"/>
            <w:tcBorders>
              <w:top w:val="nil"/>
              <w:left w:val="nil"/>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lang w:val="en-US" w:eastAsia="zh-CN"/>
              </w:rPr>
              <w:t>35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lang w:val="en-US" w:eastAsia="zh-CN"/>
              </w:rPr>
              <w:t>30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lang w:val="en-US" w:eastAsia="zh-CN"/>
              </w:rPr>
              <w:t>10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auto"/>
                <w:sz w:val="22"/>
              </w:rPr>
            </w:pPr>
            <w:r>
              <w:rPr>
                <w:rFonts w:hint="eastAsia" w:cs="宋体"/>
                <w:b/>
                <w:bCs/>
                <w:color w:val="auto"/>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color w:val="auto"/>
                <w:sz w:val="22"/>
              </w:rPr>
            </w:pPr>
            <w:r>
              <w:rPr>
                <w:rFonts w:hint="eastAsia"/>
                <w:b/>
                <w:bCs/>
                <w:color w:val="auto"/>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b/>
                <w:bCs/>
                <w:color w:val="auto"/>
                <w:sz w:val="22"/>
              </w:rPr>
            </w:pPr>
            <w:r>
              <w:rPr>
                <w:rFonts w:hint="eastAsia"/>
                <w:b/>
                <w:bCs/>
                <w:color w:val="auto"/>
                <w:sz w:val="22"/>
                <w:lang w:val="en-US" w:eastAsia="zh-CN"/>
              </w:rPr>
              <w:t>95</w:t>
            </w:r>
          </w:p>
        </w:tc>
      </w:tr>
    </w:tbl>
    <w:p>
      <w:pPr>
        <w:pStyle w:val="4"/>
        <w:spacing w:line="360" w:lineRule="auto"/>
        <w:rPr>
          <w:rFonts w:ascii="仿宋_GB2312" w:eastAsia="仿宋_GB2312"/>
          <w:b w:val="0"/>
          <w:bCs w:val="0"/>
          <w:color w:val="auto"/>
        </w:rPr>
      </w:pPr>
      <w:bookmarkStart w:id="9" w:name="_Toc68703836"/>
      <w:r>
        <w:rPr>
          <w:rFonts w:hint="eastAsia" w:ascii="仿宋_GB2312" w:eastAsia="仿宋_GB2312"/>
          <w:b w:val="0"/>
          <w:bCs w:val="0"/>
          <w:color w:val="auto"/>
        </w:rPr>
        <w:t>（二）评价结论</w:t>
      </w:r>
      <w:bookmarkEnd w:id="9"/>
    </w:p>
    <w:p>
      <w:pPr>
        <w:spacing w:line="360" w:lineRule="auto"/>
        <w:ind w:firstLine="600" w:firstLineChars="200"/>
        <w:rPr>
          <w:color w:val="auto"/>
        </w:rPr>
      </w:pPr>
      <w:r>
        <w:rPr>
          <w:rFonts w:hint="eastAsia"/>
          <w:color w:val="auto"/>
        </w:rPr>
        <w:t>本项目的项目决策、项目过程、项目产出、项目效益均达到了预期要求，最终得分为</w:t>
      </w:r>
      <w:r>
        <w:rPr>
          <w:rFonts w:hint="eastAsia"/>
          <w:color w:val="auto"/>
          <w:lang w:val="en-US" w:eastAsia="zh-CN"/>
        </w:rPr>
        <w:t>95</w:t>
      </w:r>
      <w:r>
        <w:rPr>
          <w:rFonts w:hint="eastAsia"/>
          <w:color w:val="auto"/>
        </w:rPr>
        <w:t>分，项目达成年度指标。</w:t>
      </w:r>
    </w:p>
    <w:p>
      <w:pPr>
        <w:pStyle w:val="3"/>
        <w:spacing w:line="360" w:lineRule="auto"/>
        <w:rPr>
          <w:rFonts w:ascii="宋体" w:hAnsi="宋体" w:eastAsia="宋体"/>
          <w:color w:val="auto"/>
          <w:sz w:val="32"/>
          <w:szCs w:val="32"/>
        </w:rPr>
      </w:pPr>
      <w:bookmarkStart w:id="10" w:name="_Toc68703837"/>
      <w:r>
        <w:rPr>
          <w:rFonts w:hint="eastAsia" w:ascii="宋体" w:hAnsi="宋体" w:eastAsia="宋体"/>
          <w:color w:val="auto"/>
          <w:sz w:val="32"/>
          <w:szCs w:val="32"/>
        </w:rPr>
        <w:t>四、绩效评价指标分析</w:t>
      </w:r>
      <w:bookmarkEnd w:id="10"/>
    </w:p>
    <w:p>
      <w:pPr>
        <w:pStyle w:val="4"/>
        <w:spacing w:line="360" w:lineRule="auto"/>
        <w:rPr>
          <w:rFonts w:ascii="仿宋_GB2312" w:eastAsia="仿宋_GB2312"/>
          <w:b w:val="0"/>
          <w:bCs w:val="0"/>
          <w:color w:val="auto"/>
        </w:rPr>
      </w:pPr>
      <w:bookmarkStart w:id="11" w:name="_Toc68703838"/>
      <w:r>
        <w:rPr>
          <w:rFonts w:hint="eastAsia" w:ascii="仿宋_GB2312" w:eastAsia="仿宋_GB2312"/>
          <w:b w:val="0"/>
          <w:bCs w:val="0"/>
          <w:color w:val="auto"/>
        </w:rPr>
        <w:t>（一）项目决策情况。</w:t>
      </w:r>
      <w:bookmarkEnd w:id="11"/>
    </w:p>
    <w:p>
      <w:pPr>
        <w:spacing w:line="360" w:lineRule="auto"/>
        <w:rPr>
          <w:color w:val="auto"/>
        </w:rPr>
      </w:pPr>
      <w:r>
        <w:rPr>
          <w:rFonts w:hint="eastAsia"/>
          <w:color w:val="auto"/>
        </w:rPr>
        <w:t>1、立项依据充分性</w:t>
      </w:r>
    </w:p>
    <w:p>
      <w:pPr>
        <w:spacing w:line="360" w:lineRule="auto"/>
        <w:ind w:firstLine="600" w:firstLineChars="200"/>
        <w:rPr>
          <w:rFonts w:hint="eastAsia"/>
          <w:color w:val="auto"/>
        </w:rPr>
      </w:pPr>
      <w:r>
        <w:rPr>
          <w:rFonts w:hint="eastAsia"/>
          <w:color w:val="auto"/>
        </w:rPr>
        <w:t>项目立项依据</w:t>
      </w:r>
      <w:r>
        <w:rPr>
          <w:rFonts w:hint="eastAsia"/>
          <w:color w:val="auto"/>
          <w:lang w:val="en-US" w:eastAsia="zh-CN"/>
        </w:rPr>
        <w:t>《自治州关于加强新时代廉洁文化建设实施方案》（巴党办发</w:t>
      </w:r>
      <w:r>
        <w:rPr>
          <w:rFonts w:hint="eastAsia" w:ascii="仿宋_GB2312"/>
          <w:color w:val="auto"/>
          <w:lang w:val="en-US" w:eastAsia="zh-CN"/>
        </w:rPr>
        <w:t>〔2022〕17号）、《且末县关于加强新时代廉洁文化建设的实施方案》的通知（且党办发〔2022〕34号）</w:t>
      </w:r>
      <w:r>
        <w:rPr>
          <w:rFonts w:hint="eastAsia"/>
          <w:color w:val="auto"/>
        </w:rPr>
        <w:t>，符合国家法律法规、国民经济发展规划和相关政策；符合行业发展规划和政策要求；与部门职责范围相符，属于部门履职所需；属于公共财政支持范围，符合中央、地方事权支出责任划分原则；不与相关部门同类项目或部门内部相关项目重复。</w:t>
      </w:r>
    </w:p>
    <w:p>
      <w:pPr>
        <w:pageBreakBefore w:val="0"/>
        <w:kinsoku/>
        <w:wordWrap/>
        <w:overflowPunct/>
        <w:topLinePunct w:val="0"/>
        <w:autoSpaceDE/>
        <w:autoSpaceDN/>
        <w:bidi w:val="0"/>
        <w:adjustRightInd/>
        <w:snapToGrid/>
        <w:spacing w:line="560" w:lineRule="exact"/>
        <w:ind w:firstLine="620" w:firstLineChars="200"/>
        <w:textAlignment w:val="auto"/>
        <w:rPr>
          <w:rFonts w:hint="eastAsia"/>
          <w:color w:val="auto"/>
        </w:rPr>
      </w:pPr>
      <w:r>
        <w:rPr>
          <w:rFonts w:hint="default" w:ascii="Times New Roman" w:hAnsi="Times New Roman" w:eastAsia="方正仿宋_GBK" w:cs="Times New Roman"/>
          <w:b w:val="0"/>
          <w:bCs w:val="0"/>
          <w:color w:val="auto"/>
          <w:spacing w:val="0"/>
          <w:kern w:val="2"/>
          <w:sz w:val="31"/>
          <w:szCs w:val="31"/>
          <w:lang w:val="en-US" w:eastAsia="zh-CN" w:bidi="ar-SA"/>
        </w:rPr>
        <w:t>此项权重分</w:t>
      </w:r>
      <w:r>
        <w:rPr>
          <w:rFonts w:hint="eastAsia" w:ascii="Times New Roman" w:hAnsi="Times New Roman" w:eastAsia="方正仿宋_GBK" w:cs="Times New Roman"/>
          <w:b w:val="0"/>
          <w:bCs w:val="0"/>
          <w:color w:val="auto"/>
          <w:spacing w:val="0"/>
          <w:kern w:val="2"/>
          <w:sz w:val="31"/>
          <w:szCs w:val="31"/>
          <w:lang w:val="en-US" w:eastAsia="zh-CN" w:bidi="ar-SA"/>
        </w:rPr>
        <w:t>10</w:t>
      </w:r>
      <w:r>
        <w:rPr>
          <w:rFonts w:hint="default" w:ascii="Times New Roman" w:hAnsi="Times New Roman" w:eastAsia="方正仿宋_GBK" w:cs="Times New Roman"/>
          <w:b w:val="0"/>
          <w:bCs w:val="0"/>
          <w:color w:val="auto"/>
          <w:spacing w:val="0"/>
          <w:kern w:val="2"/>
          <w:sz w:val="31"/>
          <w:szCs w:val="31"/>
          <w:lang w:val="en-US" w:eastAsia="zh-CN" w:bidi="ar-SA"/>
        </w:rPr>
        <w:t>分，得分</w:t>
      </w:r>
      <w:r>
        <w:rPr>
          <w:rFonts w:hint="eastAsia" w:ascii="Times New Roman" w:hAnsi="Times New Roman" w:eastAsia="方正仿宋_GBK" w:cs="Times New Roman"/>
          <w:b w:val="0"/>
          <w:bCs w:val="0"/>
          <w:color w:val="auto"/>
          <w:spacing w:val="0"/>
          <w:kern w:val="2"/>
          <w:sz w:val="31"/>
          <w:szCs w:val="31"/>
          <w:lang w:val="en-US" w:eastAsia="zh-CN" w:bidi="ar-SA"/>
        </w:rPr>
        <w:t>10</w:t>
      </w:r>
      <w:r>
        <w:rPr>
          <w:rFonts w:hint="default" w:ascii="Times New Roman" w:hAnsi="Times New Roman" w:eastAsia="方正仿宋_GBK" w:cs="Times New Roman"/>
          <w:b w:val="0"/>
          <w:bCs w:val="0"/>
          <w:color w:val="auto"/>
          <w:spacing w:val="0"/>
          <w:kern w:val="2"/>
          <w:sz w:val="31"/>
          <w:szCs w:val="31"/>
          <w:lang w:val="en-US" w:eastAsia="zh-CN" w:bidi="ar-SA"/>
        </w:rPr>
        <w:t>分。</w:t>
      </w:r>
    </w:p>
    <w:p>
      <w:pPr>
        <w:spacing w:line="360" w:lineRule="auto"/>
        <w:rPr>
          <w:color w:val="auto"/>
        </w:rPr>
      </w:pPr>
      <w:r>
        <w:rPr>
          <w:rFonts w:hint="eastAsia"/>
          <w:color w:val="auto"/>
        </w:rPr>
        <w:t>2、立项程序规范性</w:t>
      </w:r>
    </w:p>
    <w:p>
      <w:pPr>
        <w:spacing w:line="360" w:lineRule="auto"/>
        <w:ind w:firstLine="600" w:firstLineChars="200"/>
        <w:rPr>
          <w:color w:val="auto"/>
        </w:rPr>
      </w:pPr>
      <w:r>
        <w:rPr>
          <w:rFonts w:hint="eastAsia"/>
          <w:color w:val="auto"/>
          <w:highlight w:val="none"/>
        </w:rPr>
        <w:t>项目按照规定的程序申请设立；审批文件、材料符合相关要求；事前已经过必要的可行性研究、专家论证、风险评估、绩效评估、集体决策。</w:t>
      </w:r>
    </w:p>
    <w:p>
      <w:pPr>
        <w:pageBreakBefore w:val="0"/>
        <w:kinsoku/>
        <w:wordWrap/>
        <w:overflowPunct/>
        <w:topLinePunct w:val="0"/>
        <w:autoSpaceDE/>
        <w:autoSpaceDN/>
        <w:bidi w:val="0"/>
        <w:adjustRightInd/>
        <w:snapToGrid/>
        <w:spacing w:line="560" w:lineRule="exact"/>
        <w:ind w:firstLine="620" w:firstLineChars="200"/>
        <w:textAlignment w:val="auto"/>
        <w:rPr>
          <w:rFonts w:hint="eastAsia"/>
          <w:color w:val="auto"/>
        </w:rPr>
      </w:pPr>
      <w:r>
        <w:rPr>
          <w:rFonts w:hint="default" w:ascii="Times New Roman" w:hAnsi="Times New Roman" w:eastAsia="方正仿宋_GBK" w:cs="Times New Roman"/>
          <w:b w:val="0"/>
          <w:bCs w:val="0"/>
          <w:color w:val="auto"/>
          <w:spacing w:val="0"/>
          <w:kern w:val="2"/>
          <w:sz w:val="31"/>
          <w:szCs w:val="31"/>
          <w:lang w:val="en-US" w:eastAsia="zh-CN" w:bidi="ar-SA"/>
        </w:rPr>
        <w:t>此项权重分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分，得分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w:t>
      </w:r>
    </w:p>
    <w:p>
      <w:pPr>
        <w:spacing w:line="360" w:lineRule="auto"/>
        <w:rPr>
          <w:color w:val="auto"/>
        </w:rPr>
      </w:pPr>
      <w:r>
        <w:rPr>
          <w:rFonts w:hint="eastAsia"/>
          <w:color w:val="auto"/>
        </w:rPr>
        <w:t>3、绩效目标合理性</w:t>
      </w:r>
    </w:p>
    <w:p>
      <w:pPr>
        <w:spacing w:line="360" w:lineRule="auto"/>
        <w:ind w:firstLine="600" w:firstLineChars="200"/>
        <w:rPr>
          <w:color w:val="auto"/>
        </w:rPr>
      </w:pPr>
      <w:r>
        <w:rPr>
          <w:rFonts w:hint="eastAsia"/>
          <w:color w:val="auto"/>
        </w:rPr>
        <w:t>2023年新时代廉洁文化建设经费项目设立了项目绩效目标，与新时代廉洁文化建设具有相关性，项目的预期产出效益和效果也均能符合正常的业绩水平，并且与预算确定的项目投资额或资金量相匹配。</w:t>
      </w:r>
    </w:p>
    <w:p>
      <w:pPr>
        <w:pageBreakBefore w:val="0"/>
        <w:kinsoku/>
        <w:wordWrap/>
        <w:overflowPunct/>
        <w:topLinePunct w:val="0"/>
        <w:autoSpaceDE/>
        <w:autoSpaceDN/>
        <w:bidi w:val="0"/>
        <w:adjustRightInd/>
        <w:snapToGrid/>
        <w:spacing w:line="560" w:lineRule="exact"/>
        <w:ind w:firstLine="620" w:firstLineChars="200"/>
        <w:textAlignment w:val="auto"/>
        <w:rPr>
          <w:rFonts w:hint="eastAsia"/>
          <w:color w:val="auto"/>
        </w:rPr>
      </w:pPr>
      <w:r>
        <w:rPr>
          <w:rFonts w:hint="default" w:ascii="Times New Roman" w:hAnsi="Times New Roman" w:eastAsia="方正仿宋_GBK" w:cs="Times New Roman"/>
          <w:b w:val="0"/>
          <w:bCs w:val="0"/>
          <w:color w:val="auto"/>
          <w:spacing w:val="0"/>
          <w:kern w:val="2"/>
          <w:sz w:val="31"/>
          <w:szCs w:val="31"/>
          <w:lang w:val="en-US" w:eastAsia="zh-CN" w:bidi="ar-SA"/>
        </w:rPr>
        <w:t>此项权重分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分，得分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w:t>
      </w:r>
    </w:p>
    <w:p>
      <w:pPr>
        <w:spacing w:line="360" w:lineRule="auto"/>
        <w:rPr>
          <w:color w:val="auto"/>
        </w:rPr>
      </w:pPr>
      <w:r>
        <w:rPr>
          <w:rFonts w:hint="eastAsia"/>
          <w:color w:val="auto"/>
        </w:rPr>
        <w:t>4、绩效指标明确性</w:t>
      </w:r>
    </w:p>
    <w:p>
      <w:pPr>
        <w:spacing w:line="360" w:lineRule="auto"/>
        <w:ind w:firstLine="600" w:firstLineChars="200"/>
        <w:rPr>
          <w:color w:val="auto"/>
        </w:rPr>
      </w:pPr>
      <w:bookmarkStart w:id="12" w:name="_Hlk68699917"/>
      <w:r>
        <w:rPr>
          <w:rFonts w:hint="eastAsia"/>
          <w:color w:val="auto"/>
        </w:rPr>
        <w:t>2023年新时代廉洁文化建设经费项目将项目绩效目标细化分解为具体的绩效指标，一级指标共</w:t>
      </w:r>
      <w:r>
        <w:rPr>
          <w:rFonts w:hint="eastAsia"/>
          <w:color w:val="auto"/>
          <w:lang w:val="en-US" w:eastAsia="zh-CN"/>
        </w:rPr>
        <w:t>4</w:t>
      </w:r>
      <w:r>
        <w:rPr>
          <w:rFonts w:hint="eastAsia"/>
          <w:color w:val="auto"/>
        </w:rPr>
        <w:t>条，二级指标共</w:t>
      </w:r>
      <w:r>
        <w:rPr>
          <w:rFonts w:hint="eastAsia"/>
          <w:color w:val="auto"/>
          <w:lang w:val="en-US" w:eastAsia="zh-CN"/>
        </w:rPr>
        <w:t>6</w:t>
      </w:r>
      <w:r>
        <w:rPr>
          <w:rFonts w:hint="eastAsia"/>
          <w:color w:val="auto"/>
        </w:rPr>
        <w:t>条，三级指标共</w:t>
      </w:r>
      <w:r>
        <w:rPr>
          <w:rFonts w:hint="eastAsia"/>
          <w:color w:val="auto"/>
          <w:lang w:val="en-US" w:eastAsia="zh-CN"/>
        </w:rPr>
        <w:t>6</w:t>
      </w:r>
      <w:r>
        <w:rPr>
          <w:rFonts w:hint="eastAsia"/>
          <w:color w:val="auto"/>
        </w:rPr>
        <w:t>条，其中量化指标条数共</w:t>
      </w:r>
      <w:r>
        <w:rPr>
          <w:rFonts w:hint="eastAsia"/>
          <w:color w:val="auto"/>
          <w:lang w:val="en-US" w:eastAsia="zh-CN"/>
        </w:rPr>
        <w:t>5</w:t>
      </w:r>
      <w:r>
        <w:rPr>
          <w:rFonts w:hint="eastAsia"/>
          <w:color w:val="auto"/>
        </w:rPr>
        <w:t>条，所有绩效指标均通过清晰、可衡量的指标值予以体现，并且做到了与项目目标任务数或计划数相对应。</w:t>
      </w:r>
      <w:bookmarkEnd w:id="12"/>
    </w:p>
    <w:p>
      <w:pPr>
        <w:pageBreakBefore w:val="0"/>
        <w:kinsoku/>
        <w:wordWrap/>
        <w:overflowPunct/>
        <w:topLinePunct w:val="0"/>
        <w:autoSpaceDE/>
        <w:autoSpaceDN/>
        <w:bidi w:val="0"/>
        <w:adjustRightInd/>
        <w:snapToGrid/>
        <w:spacing w:line="560" w:lineRule="exact"/>
        <w:ind w:firstLine="620" w:firstLineChars="200"/>
        <w:textAlignment w:val="auto"/>
        <w:rPr>
          <w:rFonts w:hint="eastAsia"/>
          <w:color w:val="auto"/>
        </w:rPr>
      </w:pPr>
      <w:r>
        <w:rPr>
          <w:rFonts w:hint="default" w:ascii="Times New Roman" w:hAnsi="Times New Roman" w:eastAsia="方正仿宋_GBK" w:cs="Times New Roman"/>
          <w:b w:val="0"/>
          <w:bCs w:val="0"/>
          <w:color w:val="auto"/>
          <w:spacing w:val="0"/>
          <w:kern w:val="2"/>
          <w:sz w:val="31"/>
          <w:szCs w:val="31"/>
          <w:lang w:val="en-US" w:eastAsia="zh-CN" w:bidi="ar-SA"/>
        </w:rPr>
        <w:t>此项权重分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分，得分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w:t>
      </w:r>
    </w:p>
    <w:p>
      <w:pPr>
        <w:spacing w:line="360" w:lineRule="auto"/>
        <w:rPr>
          <w:color w:val="auto"/>
        </w:rPr>
      </w:pPr>
      <w:r>
        <w:rPr>
          <w:rFonts w:hint="eastAsia"/>
          <w:color w:val="auto"/>
        </w:rPr>
        <w:t>5、预算编制科学性</w:t>
      </w:r>
    </w:p>
    <w:p>
      <w:pPr>
        <w:spacing w:line="360" w:lineRule="auto"/>
        <w:ind w:firstLine="600" w:firstLineChars="200"/>
        <w:rPr>
          <w:rFonts w:hint="eastAsia"/>
          <w:color w:val="auto"/>
        </w:rPr>
      </w:pPr>
      <w:r>
        <w:rPr>
          <w:rFonts w:hint="eastAsia"/>
          <w:color w:val="auto"/>
        </w:rPr>
        <w:t>预算编制经过科学论证；预算内容与项目内容匹配；预算额度测算依据充分，按照标准编制；预算确定的项目投资额或资金量与工作任务相匹配。</w:t>
      </w:r>
    </w:p>
    <w:p>
      <w:pPr>
        <w:pageBreakBefore w:val="0"/>
        <w:kinsoku/>
        <w:wordWrap/>
        <w:overflowPunct/>
        <w:topLinePunct w:val="0"/>
        <w:autoSpaceDE/>
        <w:autoSpaceDN/>
        <w:bidi w:val="0"/>
        <w:adjustRightInd/>
        <w:snapToGrid/>
        <w:spacing w:line="560" w:lineRule="exact"/>
        <w:ind w:firstLine="620" w:firstLineChars="200"/>
        <w:textAlignment w:val="auto"/>
        <w:rPr>
          <w:rFonts w:hint="eastAsia"/>
        </w:rPr>
      </w:pPr>
      <w:r>
        <w:rPr>
          <w:rFonts w:hint="default" w:ascii="Times New Roman" w:hAnsi="Times New Roman" w:eastAsia="方正仿宋_GBK" w:cs="Times New Roman"/>
          <w:b w:val="0"/>
          <w:bCs w:val="0"/>
          <w:color w:val="auto"/>
          <w:spacing w:val="0"/>
          <w:kern w:val="2"/>
          <w:sz w:val="31"/>
          <w:szCs w:val="31"/>
          <w:lang w:val="en-US" w:eastAsia="zh-CN" w:bidi="ar-SA"/>
        </w:rPr>
        <w:t>此项权重分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分，得分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w:t>
      </w:r>
    </w:p>
    <w:p>
      <w:pPr>
        <w:numPr>
          <w:ilvl w:val="0"/>
          <w:numId w:val="4"/>
        </w:numPr>
        <w:spacing w:line="360" w:lineRule="auto"/>
        <w:rPr>
          <w:rFonts w:hint="eastAsia"/>
          <w:color w:val="auto"/>
        </w:rPr>
      </w:pPr>
      <w:r>
        <w:rPr>
          <w:rFonts w:hint="eastAsia"/>
          <w:color w:val="auto"/>
        </w:rPr>
        <w:t>资金分配合理性</w:t>
      </w:r>
    </w:p>
    <w:p>
      <w:pPr>
        <w:numPr>
          <w:ilvl w:val="0"/>
          <w:numId w:val="0"/>
        </w:numPr>
        <w:spacing w:line="360" w:lineRule="auto"/>
        <w:ind w:firstLine="600" w:firstLineChars="200"/>
        <w:rPr>
          <w:rFonts w:hint="eastAsia"/>
          <w:color w:val="auto"/>
        </w:rPr>
      </w:pPr>
      <w:r>
        <w:rPr>
          <w:rFonts w:hint="eastAsia"/>
          <w:color w:val="auto"/>
          <w:highlight w:val="none"/>
        </w:rPr>
        <w:t>预算资金分配依据充分</w:t>
      </w:r>
      <w:r>
        <w:rPr>
          <w:rFonts w:hint="eastAsia"/>
          <w:color w:val="auto"/>
          <w:highlight w:val="none"/>
          <w:lang w:eastAsia="zh-CN"/>
        </w:rPr>
        <w:t>；</w:t>
      </w:r>
      <w:r>
        <w:rPr>
          <w:rFonts w:hint="eastAsia"/>
          <w:color w:val="auto"/>
          <w:highlight w:val="none"/>
        </w:rPr>
        <w:t>资金分配额度合理，与项目单位或地方实际相适应。</w:t>
      </w:r>
    </w:p>
    <w:p>
      <w:pPr>
        <w:pageBreakBefore w:val="0"/>
        <w:kinsoku/>
        <w:wordWrap/>
        <w:overflowPunct/>
        <w:topLinePunct w:val="0"/>
        <w:autoSpaceDE/>
        <w:autoSpaceDN/>
        <w:bidi w:val="0"/>
        <w:adjustRightInd/>
        <w:snapToGrid/>
        <w:spacing w:line="560" w:lineRule="exact"/>
        <w:ind w:firstLine="620" w:firstLineChars="200"/>
        <w:textAlignment w:val="auto"/>
        <w:rPr>
          <w:rFonts w:hint="eastAsia" w:ascii="仿宋_GB2312" w:eastAsia="仿宋_GB2312"/>
          <w:b w:val="0"/>
          <w:bCs w:val="0"/>
          <w:color w:val="auto"/>
        </w:rPr>
      </w:pPr>
      <w:bookmarkStart w:id="13" w:name="_Toc68703839"/>
      <w:r>
        <w:rPr>
          <w:rFonts w:hint="default" w:ascii="Times New Roman" w:hAnsi="Times New Roman" w:eastAsia="方正仿宋_GBK" w:cs="Times New Roman"/>
          <w:b w:val="0"/>
          <w:bCs w:val="0"/>
          <w:color w:val="auto"/>
          <w:spacing w:val="0"/>
          <w:kern w:val="2"/>
          <w:sz w:val="31"/>
          <w:szCs w:val="31"/>
          <w:lang w:val="en-US" w:eastAsia="zh-CN" w:bidi="ar-SA"/>
        </w:rPr>
        <w:t>此项权重分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分，得分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w:t>
      </w:r>
    </w:p>
    <w:p>
      <w:pPr>
        <w:pStyle w:val="4"/>
        <w:spacing w:line="360" w:lineRule="auto"/>
        <w:rPr>
          <w:rFonts w:ascii="仿宋_GB2312" w:eastAsia="仿宋_GB2312"/>
          <w:b w:val="0"/>
          <w:bCs w:val="0"/>
          <w:color w:val="auto"/>
        </w:rPr>
      </w:pPr>
      <w:r>
        <w:rPr>
          <w:rFonts w:hint="eastAsia" w:ascii="仿宋_GB2312" w:eastAsia="仿宋_GB2312"/>
          <w:b w:val="0"/>
          <w:bCs w:val="0"/>
          <w:color w:val="auto"/>
        </w:rPr>
        <w:t>（二）项目过程情况。</w:t>
      </w:r>
      <w:bookmarkEnd w:id="13"/>
    </w:p>
    <w:p>
      <w:pPr>
        <w:spacing w:line="360" w:lineRule="auto"/>
        <w:rPr>
          <w:color w:val="auto"/>
        </w:rPr>
      </w:pPr>
      <w:r>
        <w:rPr>
          <w:rFonts w:hint="eastAsia"/>
          <w:color w:val="auto"/>
        </w:rPr>
        <w:t>1、资金到位率：</w:t>
      </w:r>
    </w:p>
    <w:p>
      <w:pPr>
        <w:spacing w:line="360" w:lineRule="auto"/>
        <w:ind w:firstLine="600" w:firstLineChars="200"/>
        <w:rPr>
          <w:color w:val="auto"/>
        </w:rPr>
      </w:pPr>
      <w:r>
        <w:rPr>
          <w:rFonts w:hint="eastAsia"/>
          <w:color w:val="auto"/>
        </w:rPr>
        <w:t>实际到位资金</w:t>
      </w:r>
      <w:r>
        <w:rPr>
          <w:rFonts w:hint="eastAsia"/>
          <w:color w:val="auto"/>
          <w:lang w:val="en-US" w:eastAsia="zh-CN"/>
        </w:rPr>
        <w:t>30</w:t>
      </w:r>
      <w:r>
        <w:rPr>
          <w:rFonts w:hint="eastAsia"/>
          <w:color w:val="auto"/>
        </w:rPr>
        <w:t>万元，预算资金</w:t>
      </w:r>
      <w:r>
        <w:rPr>
          <w:rFonts w:hint="eastAsia"/>
          <w:color w:val="auto"/>
          <w:lang w:val="en-US" w:eastAsia="zh-CN"/>
        </w:rPr>
        <w:t>30</w:t>
      </w:r>
      <w:r>
        <w:rPr>
          <w:rFonts w:hint="eastAsia"/>
          <w:color w:val="auto"/>
        </w:rPr>
        <w:t>万元，资金到位率</w:t>
      </w:r>
      <w:r>
        <w:rPr>
          <w:rFonts w:hint="eastAsia"/>
          <w:color w:val="auto"/>
          <w:lang w:val="en-US" w:eastAsia="zh-CN"/>
        </w:rPr>
        <w:t>100</w:t>
      </w:r>
      <w:r>
        <w:rPr>
          <w:rFonts w:hint="eastAsia"/>
          <w:color w:val="auto"/>
        </w:rPr>
        <w:t>%（资金到位率=（实际到位资金/预算资金）×100%）</w:t>
      </w:r>
    </w:p>
    <w:p>
      <w:pPr>
        <w:pageBreakBefore w:val="0"/>
        <w:kinsoku/>
        <w:wordWrap/>
        <w:overflowPunct/>
        <w:topLinePunct w:val="0"/>
        <w:autoSpaceDE/>
        <w:autoSpaceDN/>
        <w:bidi w:val="0"/>
        <w:adjustRightInd/>
        <w:snapToGrid/>
        <w:spacing w:line="560" w:lineRule="exact"/>
        <w:ind w:firstLine="620" w:firstLineChars="200"/>
        <w:textAlignment w:val="auto"/>
        <w:rPr>
          <w:rFonts w:hint="eastAsia"/>
          <w:color w:val="auto"/>
        </w:rPr>
      </w:pPr>
      <w:r>
        <w:rPr>
          <w:rFonts w:hint="default" w:ascii="Times New Roman" w:hAnsi="Times New Roman" w:eastAsia="方正仿宋_GBK" w:cs="Times New Roman"/>
          <w:b w:val="0"/>
          <w:bCs w:val="0"/>
          <w:color w:val="auto"/>
          <w:spacing w:val="0"/>
          <w:kern w:val="2"/>
          <w:sz w:val="31"/>
          <w:szCs w:val="31"/>
          <w:lang w:val="en-US" w:eastAsia="zh-CN" w:bidi="ar-SA"/>
        </w:rPr>
        <w:t>此项权重分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分，得分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w:t>
      </w:r>
    </w:p>
    <w:p>
      <w:pPr>
        <w:spacing w:line="360" w:lineRule="auto"/>
        <w:rPr>
          <w:color w:val="auto"/>
        </w:rPr>
      </w:pPr>
      <w:r>
        <w:rPr>
          <w:rFonts w:hint="eastAsia"/>
          <w:color w:val="auto"/>
        </w:rPr>
        <w:t>2、预算执行率</w:t>
      </w:r>
    </w:p>
    <w:p>
      <w:pPr>
        <w:spacing w:line="360" w:lineRule="auto"/>
        <w:ind w:firstLine="600" w:firstLineChars="200"/>
        <w:rPr>
          <w:color w:val="auto"/>
        </w:rPr>
      </w:pPr>
      <w:r>
        <w:rPr>
          <w:rFonts w:hint="eastAsia"/>
          <w:color w:val="auto"/>
        </w:rPr>
        <w:t>年初预算数</w:t>
      </w:r>
      <w:r>
        <w:rPr>
          <w:rFonts w:hint="eastAsia"/>
          <w:color w:val="auto"/>
          <w:lang w:val="en-US" w:eastAsia="zh-CN"/>
        </w:rPr>
        <w:t>30</w:t>
      </w:r>
      <w:r>
        <w:rPr>
          <w:rFonts w:hint="eastAsia"/>
          <w:color w:val="auto"/>
        </w:rPr>
        <w:t>万元，全年预算数</w:t>
      </w:r>
      <w:r>
        <w:rPr>
          <w:rFonts w:hint="eastAsia"/>
          <w:color w:val="auto"/>
          <w:lang w:val="en-US" w:eastAsia="zh-CN"/>
        </w:rPr>
        <w:t>30</w:t>
      </w:r>
      <w:r>
        <w:rPr>
          <w:rFonts w:hint="eastAsia"/>
          <w:color w:val="auto"/>
        </w:rPr>
        <w:t>万元（有年中追加资金，全年预算数=年初预算数+追加资金），全年执行数</w:t>
      </w:r>
      <w:r>
        <w:rPr>
          <w:rFonts w:hint="eastAsia"/>
          <w:color w:val="auto"/>
          <w:lang w:val="en-US" w:eastAsia="zh-CN"/>
        </w:rPr>
        <w:t>0</w:t>
      </w:r>
      <w:r>
        <w:rPr>
          <w:rFonts w:hint="eastAsia"/>
          <w:color w:val="auto"/>
        </w:rPr>
        <w:t>万元，预算执行率为</w:t>
      </w:r>
      <w:r>
        <w:rPr>
          <w:rFonts w:hint="eastAsia"/>
          <w:color w:val="auto"/>
          <w:lang w:val="en-US" w:eastAsia="zh-CN"/>
        </w:rPr>
        <w:t>0</w:t>
      </w:r>
      <w:r>
        <w:rPr>
          <w:rFonts w:hint="eastAsia"/>
          <w:color w:val="auto"/>
        </w:rPr>
        <w:t>%（预算执行率=全年执行数/全年预算数）</w:t>
      </w:r>
    </w:p>
    <w:p>
      <w:pPr>
        <w:pageBreakBefore w:val="0"/>
        <w:kinsoku/>
        <w:wordWrap/>
        <w:overflowPunct/>
        <w:topLinePunct w:val="0"/>
        <w:autoSpaceDE/>
        <w:autoSpaceDN/>
        <w:bidi w:val="0"/>
        <w:adjustRightInd/>
        <w:snapToGrid/>
        <w:spacing w:line="560" w:lineRule="exact"/>
        <w:ind w:firstLine="620" w:firstLineChars="200"/>
        <w:textAlignment w:val="auto"/>
        <w:rPr>
          <w:rFonts w:hint="eastAsia"/>
          <w:color w:val="auto"/>
        </w:rPr>
      </w:pPr>
      <w:r>
        <w:rPr>
          <w:rFonts w:hint="default" w:ascii="Times New Roman" w:hAnsi="Times New Roman" w:eastAsia="方正仿宋_GBK" w:cs="Times New Roman"/>
          <w:b w:val="0"/>
          <w:bCs w:val="0"/>
          <w:color w:val="auto"/>
          <w:spacing w:val="0"/>
          <w:kern w:val="2"/>
          <w:sz w:val="31"/>
          <w:szCs w:val="31"/>
          <w:lang w:val="en-US" w:eastAsia="zh-CN" w:bidi="ar-SA"/>
        </w:rPr>
        <w:t>此项权重分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分，得分</w:t>
      </w:r>
      <w:r>
        <w:rPr>
          <w:rFonts w:hint="eastAsia" w:ascii="Times New Roman" w:hAnsi="Times New Roman" w:eastAsia="方正仿宋_GBK" w:cs="Times New Roman"/>
          <w:b w:val="0"/>
          <w:bCs w:val="0"/>
          <w:color w:val="auto"/>
          <w:spacing w:val="0"/>
          <w:kern w:val="2"/>
          <w:sz w:val="31"/>
          <w:szCs w:val="31"/>
          <w:lang w:val="en-US" w:eastAsia="zh-CN" w:bidi="ar-SA"/>
        </w:rPr>
        <w:t>0</w:t>
      </w:r>
      <w:r>
        <w:rPr>
          <w:rFonts w:hint="default" w:ascii="Times New Roman" w:hAnsi="Times New Roman" w:eastAsia="方正仿宋_GBK" w:cs="Times New Roman"/>
          <w:b w:val="0"/>
          <w:bCs w:val="0"/>
          <w:color w:val="auto"/>
          <w:spacing w:val="0"/>
          <w:kern w:val="2"/>
          <w:sz w:val="31"/>
          <w:szCs w:val="31"/>
          <w:lang w:val="en-US" w:eastAsia="zh-CN" w:bidi="ar-SA"/>
        </w:rPr>
        <w:t>分。</w:t>
      </w:r>
    </w:p>
    <w:p>
      <w:pPr>
        <w:spacing w:line="360" w:lineRule="auto"/>
        <w:rPr>
          <w:rFonts w:hint="eastAsia"/>
          <w:color w:val="auto"/>
        </w:rPr>
      </w:pPr>
    </w:p>
    <w:p>
      <w:pPr>
        <w:spacing w:line="360" w:lineRule="auto"/>
        <w:rPr>
          <w:color w:val="auto"/>
        </w:rPr>
      </w:pPr>
      <w:r>
        <w:rPr>
          <w:rFonts w:hint="eastAsia"/>
          <w:color w:val="auto"/>
        </w:rPr>
        <w:t>3、资金使用合规性</w:t>
      </w:r>
    </w:p>
    <w:p>
      <w:pPr>
        <w:spacing w:line="360" w:lineRule="auto"/>
        <w:ind w:firstLine="600" w:firstLineChars="200"/>
        <w:rPr>
          <w:rFonts w:hint="eastAsia"/>
          <w:color w:val="auto"/>
          <w:highlight w:val="none"/>
          <w:lang w:eastAsia="zh-CN"/>
        </w:rPr>
      </w:pPr>
      <w:r>
        <w:rPr>
          <w:rFonts w:hint="eastAsia"/>
          <w:color w:val="auto"/>
          <w:highlight w:val="none"/>
        </w:rPr>
        <w:t>资金使用符合国家财经法规和财务管理制度以及有关专项资金管理办法的规定；资金的拨付有完整的审批程序和手续；资金使用符合项目预算批复或合同规定的用途</w:t>
      </w:r>
      <w:r>
        <w:rPr>
          <w:rFonts w:hint="eastAsia"/>
          <w:color w:val="auto"/>
          <w:highlight w:val="none"/>
          <w:lang w:eastAsia="zh-CN"/>
        </w:rPr>
        <w:t>。</w:t>
      </w:r>
    </w:p>
    <w:p>
      <w:pPr>
        <w:pageBreakBefore w:val="0"/>
        <w:kinsoku/>
        <w:wordWrap/>
        <w:overflowPunct/>
        <w:topLinePunct w:val="0"/>
        <w:autoSpaceDE/>
        <w:autoSpaceDN/>
        <w:bidi w:val="0"/>
        <w:adjustRightInd/>
        <w:snapToGrid/>
        <w:spacing w:line="560" w:lineRule="exact"/>
        <w:ind w:firstLine="620" w:firstLineChars="200"/>
        <w:textAlignment w:val="auto"/>
        <w:rPr>
          <w:rFonts w:hint="eastAsia"/>
          <w:lang w:eastAsia="zh-CN"/>
        </w:rPr>
      </w:pPr>
      <w:r>
        <w:rPr>
          <w:rFonts w:hint="default" w:ascii="Times New Roman" w:hAnsi="Times New Roman" w:eastAsia="方正仿宋_GBK" w:cs="Times New Roman"/>
          <w:b w:val="0"/>
          <w:bCs w:val="0"/>
          <w:color w:val="auto"/>
          <w:spacing w:val="0"/>
          <w:kern w:val="2"/>
          <w:sz w:val="31"/>
          <w:szCs w:val="31"/>
          <w:lang w:val="en-US" w:eastAsia="zh-CN" w:bidi="ar-SA"/>
        </w:rPr>
        <w:t>此项权重分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分，得分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w:t>
      </w:r>
    </w:p>
    <w:p>
      <w:pPr>
        <w:numPr>
          <w:ilvl w:val="0"/>
          <w:numId w:val="5"/>
        </w:numPr>
        <w:spacing w:line="360" w:lineRule="auto"/>
        <w:rPr>
          <w:rFonts w:hint="eastAsia"/>
          <w:color w:val="auto"/>
        </w:rPr>
      </w:pPr>
      <w:r>
        <w:rPr>
          <w:rFonts w:hint="eastAsia"/>
          <w:color w:val="auto"/>
        </w:rPr>
        <w:t>管理制度健全性</w:t>
      </w:r>
    </w:p>
    <w:p>
      <w:pPr>
        <w:spacing w:line="360" w:lineRule="auto"/>
        <w:ind w:firstLine="600" w:firstLineChars="200"/>
        <w:rPr>
          <w:rFonts w:hint="eastAsia"/>
          <w:color w:val="auto"/>
          <w:highlight w:val="none"/>
        </w:rPr>
      </w:pPr>
      <w:r>
        <w:rPr>
          <w:rFonts w:hint="eastAsia"/>
          <w:color w:val="auto"/>
          <w:highlight w:val="none"/>
          <w:lang w:val="en-US" w:eastAsia="zh-CN"/>
        </w:rPr>
        <w:t>项目实施过程中，严格按照财政的资金监管要求，严格执行计划审批、支付审批制度，</w:t>
      </w:r>
      <w:r>
        <w:rPr>
          <w:rFonts w:hint="eastAsia"/>
          <w:color w:val="auto"/>
          <w:highlight w:val="none"/>
        </w:rPr>
        <w:t>财务和业务管理制度合法、合规、完整。</w:t>
      </w:r>
    </w:p>
    <w:p>
      <w:pPr>
        <w:pageBreakBefore w:val="0"/>
        <w:kinsoku/>
        <w:wordWrap/>
        <w:overflowPunct/>
        <w:topLinePunct w:val="0"/>
        <w:autoSpaceDE/>
        <w:autoSpaceDN/>
        <w:bidi w:val="0"/>
        <w:adjustRightInd/>
        <w:snapToGrid/>
        <w:spacing w:line="560" w:lineRule="exact"/>
        <w:ind w:firstLine="620" w:firstLineChars="200"/>
        <w:textAlignment w:val="auto"/>
        <w:rPr>
          <w:rFonts w:hint="eastAsia"/>
        </w:rPr>
      </w:pPr>
      <w:r>
        <w:rPr>
          <w:rFonts w:hint="default" w:ascii="Times New Roman" w:hAnsi="Times New Roman" w:eastAsia="方正仿宋_GBK" w:cs="Times New Roman"/>
          <w:b w:val="0"/>
          <w:bCs w:val="0"/>
          <w:color w:val="auto"/>
          <w:spacing w:val="0"/>
          <w:kern w:val="2"/>
          <w:sz w:val="31"/>
          <w:szCs w:val="31"/>
          <w:lang w:val="en-US" w:eastAsia="zh-CN" w:bidi="ar-SA"/>
        </w:rPr>
        <w:t>此项权重分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分，得分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w:t>
      </w:r>
    </w:p>
    <w:p>
      <w:pPr>
        <w:numPr>
          <w:ilvl w:val="0"/>
          <w:numId w:val="5"/>
        </w:numPr>
        <w:spacing w:line="360" w:lineRule="auto"/>
        <w:ind w:left="0" w:leftChars="0" w:firstLine="0" w:firstLineChars="0"/>
        <w:rPr>
          <w:rFonts w:hint="eastAsia"/>
          <w:color w:val="auto"/>
        </w:rPr>
      </w:pPr>
      <w:r>
        <w:rPr>
          <w:rFonts w:hint="eastAsia"/>
          <w:color w:val="auto"/>
        </w:rPr>
        <w:t>制度执行有效性</w:t>
      </w:r>
    </w:p>
    <w:p>
      <w:pPr>
        <w:spacing w:line="360" w:lineRule="auto"/>
        <w:ind w:firstLine="600" w:firstLineChars="200"/>
        <w:rPr>
          <w:rFonts w:hint="eastAsia"/>
          <w:color w:val="auto"/>
          <w:highlight w:val="none"/>
        </w:rPr>
      </w:pPr>
      <w:r>
        <w:rPr>
          <w:rFonts w:hint="eastAsia"/>
          <w:color w:val="auto"/>
          <w:highlight w:val="none"/>
          <w:lang w:val="en-US" w:eastAsia="zh-CN"/>
        </w:rPr>
        <w:t>项目实施</w:t>
      </w:r>
      <w:r>
        <w:rPr>
          <w:rFonts w:hint="eastAsia"/>
          <w:color w:val="auto"/>
          <w:highlight w:val="none"/>
        </w:rPr>
        <w:t>遵守相关法律法规和相关管理规定；项目调整及支出调整手续完备</w:t>
      </w:r>
      <w:r>
        <w:rPr>
          <w:rFonts w:hint="eastAsia"/>
          <w:color w:val="auto"/>
          <w:highlight w:val="none"/>
          <w:lang w:eastAsia="zh-CN"/>
        </w:rPr>
        <w:t>，</w:t>
      </w:r>
      <w:r>
        <w:rPr>
          <w:rFonts w:hint="eastAsia"/>
          <w:color w:val="auto"/>
          <w:highlight w:val="none"/>
          <w:lang w:val="en-US" w:eastAsia="zh-CN"/>
        </w:rPr>
        <w:t>严格按照财政监管要求</w:t>
      </w:r>
      <w:r>
        <w:rPr>
          <w:rFonts w:hint="eastAsia"/>
          <w:color w:val="auto"/>
          <w:highlight w:val="none"/>
        </w:rPr>
        <w:t>；项目</w:t>
      </w:r>
      <w:r>
        <w:rPr>
          <w:rFonts w:hint="eastAsia"/>
          <w:color w:val="auto"/>
          <w:highlight w:val="none"/>
          <w:lang w:val="en-US" w:eastAsia="zh-CN"/>
        </w:rPr>
        <w:t>实施的</w:t>
      </w:r>
      <w:r>
        <w:rPr>
          <w:rFonts w:hint="eastAsia"/>
          <w:color w:val="auto"/>
          <w:highlight w:val="none"/>
        </w:rPr>
        <w:t>资料齐全并及时归档；项目实施</w:t>
      </w:r>
      <w:r>
        <w:rPr>
          <w:rFonts w:hint="eastAsia"/>
          <w:color w:val="auto"/>
          <w:highlight w:val="none"/>
          <w:lang w:val="en-US" w:eastAsia="zh-CN"/>
        </w:rPr>
        <w:t>有序开展</w:t>
      </w:r>
      <w:r>
        <w:rPr>
          <w:rFonts w:hint="eastAsia"/>
          <w:color w:val="auto"/>
          <w:highlight w:val="none"/>
        </w:rPr>
        <w:t>。</w:t>
      </w:r>
    </w:p>
    <w:p>
      <w:pPr>
        <w:pageBreakBefore w:val="0"/>
        <w:kinsoku/>
        <w:wordWrap/>
        <w:overflowPunct/>
        <w:topLinePunct w:val="0"/>
        <w:autoSpaceDE/>
        <w:autoSpaceDN/>
        <w:bidi w:val="0"/>
        <w:adjustRightInd/>
        <w:snapToGrid/>
        <w:spacing w:line="560" w:lineRule="exact"/>
        <w:ind w:firstLine="620" w:firstLineChars="200"/>
        <w:textAlignment w:val="auto"/>
        <w:rPr>
          <w:rFonts w:hint="eastAsia"/>
        </w:rPr>
      </w:pPr>
      <w:r>
        <w:rPr>
          <w:rFonts w:hint="default" w:ascii="Times New Roman" w:hAnsi="Times New Roman" w:eastAsia="方正仿宋_GBK" w:cs="Times New Roman"/>
          <w:b w:val="0"/>
          <w:bCs w:val="0"/>
          <w:color w:val="auto"/>
          <w:spacing w:val="0"/>
          <w:kern w:val="2"/>
          <w:sz w:val="31"/>
          <w:szCs w:val="31"/>
          <w:lang w:val="en-US" w:eastAsia="zh-CN" w:bidi="ar-SA"/>
        </w:rPr>
        <w:t>此项权重分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分，得分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w:t>
      </w:r>
    </w:p>
    <w:p>
      <w:pPr>
        <w:pStyle w:val="4"/>
        <w:spacing w:line="360" w:lineRule="auto"/>
        <w:rPr>
          <w:rFonts w:ascii="仿宋_GB2312" w:eastAsia="仿宋_GB2312"/>
          <w:b w:val="0"/>
          <w:bCs w:val="0"/>
          <w:color w:val="auto"/>
        </w:rPr>
      </w:pPr>
      <w:bookmarkStart w:id="14" w:name="_Toc68703840"/>
      <w:r>
        <w:rPr>
          <w:rFonts w:hint="eastAsia" w:ascii="仿宋_GB2312" w:eastAsia="仿宋_GB2312"/>
          <w:b w:val="0"/>
          <w:bCs w:val="0"/>
          <w:color w:val="auto"/>
        </w:rPr>
        <w:t>（三）项目产出情况。</w:t>
      </w:r>
      <w:bookmarkEnd w:id="14"/>
    </w:p>
    <w:p>
      <w:pPr>
        <w:spacing w:line="360" w:lineRule="auto"/>
        <w:ind w:firstLine="600" w:firstLineChars="200"/>
        <w:rPr>
          <w:color w:val="auto"/>
        </w:rPr>
      </w:pPr>
      <w:r>
        <w:rPr>
          <w:rFonts w:hint="eastAsia"/>
          <w:color w:val="auto"/>
        </w:rPr>
        <w:t>1、数量指标：指标1：支持基层纪检监察机关数量，指标值：=1个，实际完成值=1个，指标完成率</w:t>
      </w:r>
      <w:r>
        <w:rPr>
          <w:rFonts w:hint="eastAsia"/>
          <w:color w:val="auto"/>
          <w:lang w:val="en-US" w:eastAsia="zh-CN"/>
        </w:rPr>
        <w:t>100</w:t>
      </w:r>
      <w:r>
        <w:rPr>
          <w:color w:val="auto"/>
        </w:rPr>
        <w:t xml:space="preserve"> </w:t>
      </w:r>
      <w:r>
        <w:rPr>
          <w:rFonts w:hint="eastAsia"/>
          <w:color w:val="auto"/>
        </w:rPr>
        <w:t>%（指标完成率=（实际完成值/指标值）*</w:t>
      </w:r>
      <w:r>
        <w:rPr>
          <w:color w:val="auto"/>
        </w:rPr>
        <w:t>100</w:t>
      </w:r>
      <w:r>
        <w:rPr>
          <w:rFonts w:hint="eastAsia"/>
          <w:color w:val="auto"/>
        </w:rPr>
        <w:t>%），偏差原因：</w:t>
      </w:r>
      <w:r>
        <w:rPr>
          <w:rFonts w:hint="eastAsia"/>
          <w:color w:val="auto"/>
          <w:lang w:val="en-US" w:eastAsia="zh-CN"/>
        </w:rPr>
        <w:t>无</w:t>
      </w:r>
      <w:r>
        <w:rPr>
          <w:rFonts w:hint="eastAsia"/>
          <w:color w:val="auto"/>
        </w:rPr>
        <w:t>；指标2：打造廉洁文化阵地场所，指标值：&gt;=1处，实际完成值=</w:t>
      </w:r>
      <w:r>
        <w:rPr>
          <w:rFonts w:hint="eastAsia"/>
          <w:color w:val="auto"/>
          <w:lang w:val="en-US" w:eastAsia="zh-CN"/>
        </w:rPr>
        <w:t>6处</w:t>
      </w:r>
      <w:r>
        <w:rPr>
          <w:rFonts w:hint="eastAsia"/>
          <w:color w:val="auto"/>
        </w:rPr>
        <w:t>，指标完成率</w:t>
      </w:r>
      <w:r>
        <w:rPr>
          <w:rFonts w:hint="eastAsia"/>
          <w:color w:val="auto"/>
          <w:lang w:val="en-US" w:eastAsia="zh-CN"/>
        </w:rPr>
        <w:t>600</w:t>
      </w:r>
      <w:r>
        <w:rPr>
          <w:color w:val="auto"/>
        </w:rPr>
        <w:t xml:space="preserve"> </w:t>
      </w:r>
      <w:r>
        <w:rPr>
          <w:rFonts w:hint="eastAsia"/>
          <w:color w:val="auto"/>
        </w:rPr>
        <w:t>%（指标完成率=（实际完成值/指标值）*</w:t>
      </w:r>
      <w:r>
        <w:rPr>
          <w:color w:val="auto"/>
        </w:rPr>
        <w:t>100</w:t>
      </w:r>
      <w:r>
        <w:rPr>
          <w:rFonts w:hint="eastAsia"/>
          <w:color w:val="auto"/>
        </w:rPr>
        <w:t>%），偏差原因：为了推进且末县新时代廉洁文化建设高质量发展，根据实际情况增加了5所。</w:t>
      </w:r>
    </w:p>
    <w:p>
      <w:pPr>
        <w:pageBreakBefore w:val="0"/>
        <w:kinsoku/>
        <w:wordWrap/>
        <w:overflowPunct/>
        <w:topLinePunct w:val="0"/>
        <w:autoSpaceDE/>
        <w:autoSpaceDN/>
        <w:bidi w:val="0"/>
        <w:adjustRightInd/>
        <w:snapToGrid/>
        <w:spacing w:line="560" w:lineRule="exact"/>
        <w:ind w:firstLine="620" w:firstLineChars="200"/>
        <w:textAlignment w:val="auto"/>
        <w:rPr>
          <w:color w:val="auto"/>
        </w:rPr>
      </w:pPr>
      <w:r>
        <w:rPr>
          <w:rFonts w:hint="default" w:ascii="Times New Roman" w:hAnsi="Times New Roman" w:eastAsia="方正仿宋_GBK" w:cs="Times New Roman"/>
          <w:b w:val="0"/>
          <w:bCs w:val="0"/>
          <w:color w:val="auto"/>
          <w:spacing w:val="0"/>
          <w:kern w:val="2"/>
          <w:sz w:val="31"/>
          <w:szCs w:val="31"/>
          <w:lang w:val="en-US" w:eastAsia="zh-CN" w:bidi="ar-SA"/>
        </w:rPr>
        <w:t>此项权重分</w:t>
      </w:r>
      <w:r>
        <w:rPr>
          <w:rFonts w:hint="eastAsia" w:ascii="Times New Roman" w:hAnsi="Times New Roman" w:eastAsia="方正仿宋_GBK" w:cs="Times New Roman"/>
          <w:b w:val="0"/>
          <w:bCs w:val="0"/>
          <w:color w:val="auto"/>
          <w:spacing w:val="0"/>
          <w:kern w:val="2"/>
          <w:sz w:val="31"/>
          <w:szCs w:val="31"/>
          <w:lang w:val="en-US" w:eastAsia="zh-CN" w:bidi="ar-SA"/>
        </w:rPr>
        <w:t>10</w:t>
      </w:r>
      <w:r>
        <w:rPr>
          <w:rFonts w:hint="default" w:ascii="Times New Roman" w:hAnsi="Times New Roman" w:eastAsia="方正仿宋_GBK" w:cs="Times New Roman"/>
          <w:b w:val="0"/>
          <w:bCs w:val="0"/>
          <w:color w:val="auto"/>
          <w:spacing w:val="0"/>
          <w:kern w:val="2"/>
          <w:sz w:val="31"/>
          <w:szCs w:val="31"/>
          <w:lang w:val="en-US" w:eastAsia="zh-CN" w:bidi="ar-SA"/>
        </w:rPr>
        <w:t>分，得分</w:t>
      </w:r>
      <w:r>
        <w:rPr>
          <w:rFonts w:hint="eastAsia" w:ascii="Times New Roman" w:hAnsi="Times New Roman" w:eastAsia="方正仿宋_GBK" w:cs="Times New Roman"/>
          <w:b w:val="0"/>
          <w:bCs w:val="0"/>
          <w:color w:val="auto"/>
          <w:spacing w:val="0"/>
          <w:kern w:val="2"/>
          <w:sz w:val="31"/>
          <w:szCs w:val="31"/>
          <w:lang w:val="en-US" w:eastAsia="zh-CN" w:bidi="ar-SA"/>
        </w:rPr>
        <w:t>10</w:t>
      </w:r>
      <w:r>
        <w:rPr>
          <w:rFonts w:hint="default" w:ascii="Times New Roman" w:hAnsi="Times New Roman" w:eastAsia="方正仿宋_GBK" w:cs="Times New Roman"/>
          <w:b w:val="0"/>
          <w:bCs w:val="0"/>
          <w:color w:val="auto"/>
          <w:spacing w:val="0"/>
          <w:kern w:val="2"/>
          <w:sz w:val="31"/>
          <w:szCs w:val="31"/>
          <w:lang w:val="en-US" w:eastAsia="zh-CN" w:bidi="ar-SA"/>
        </w:rPr>
        <w:t>分。</w:t>
      </w:r>
    </w:p>
    <w:p>
      <w:pPr>
        <w:spacing w:line="360" w:lineRule="auto"/>
        <w:ind w:firstLine="600" w:firstLineChars="200"/>
        <w:rPr>
          <w:rFonts w:hint="eastAsia"/>
          <w:color w:val="auto"/>
        </w:rPr>
      </w:pPr>
      <w:r>
        <w:rPr>
          <w:color w:val="auto"/>
        </w:rPr>
        <w:t>2</w:t>
      </w:r>
      <w:r>
        <w:rPr>
          <w:rFonts w:hint="eastAsia"/>
          <w:color w:val="auto"/>
        </w:rPr>
        <w:t>、质量指标：指标1：</w:t>
      </w:r>
      <w:r>
        <w:rPr>
          <w:rFonts w:hint="eastAsia"/>
          <w:color w:val="auto"/>
        </w:rPr>
        <w:tab/>
      </w:r>
      <w:r>
        <w:rPr>
          <w:rFonts w:hint="eastAsia"/>
          <w:color w:val="auto"/>
        </w:rPr>
        <w:t>验收合格率</w:t>
      </w:r>
      <w:r>
        <w:rPr>
          <w:color w:val="auto"/>
        </w:rPr>
        <w:t xml:space="preserve"> </w:t>
      </w:r>
      <w:r>
        <w:rPr>
          <w:rFonts w:hint="eastAsia"/>
          <w:color w:val="auto"/>
        </w:rPr>
        <w:t>，指标值：</w:t>
      </w:r>
      <w:r>
        <w:rPr>
          <w:rFonts w:hint="eastAsia"/>
          <w:color w:val="auto"/>
          <w:lang w:val="en-US" w:eastAsia="zh-CN"/>
        </w:rPr>
        <w:t>=100</w:t>
      </w:r>
      <w:r>
        <w:rPr>
          <w:color w:val="auto"/>
        </w:rPr>
        <w:t xml:space="preserve"> </w:t>
      </w:r>
      <w:r>
        <w:rPr>
          <w:rFonts w:hint="eastAsia"/>
          <w:color w:val="auto"/>
        </w:rPr>
        <w:t>%，实际完成值</w:t>
      </w:r>
      <w:r>
        <w:rPr>
          <w:rFonts w:hint="eastAsia"/>
          <w:color w:val="auto"/>
          <w:lang w:val="en-US" w:eastAsia="zh-CN"/>
        </w:rPr>
        <w:t>=100</w:t>
      </w:r>
      <w:r>
        <w:rPr>
          <w:color w:val="auto"/>
        </w:rPr>
        <w:t xml:space="preserve"> </w:t>
      </w:r>
      <w:r>
        <w:rPr>
          <w:rFonts w:hint="eastAsia"/>
          <w:color w:val="auto"/>
        </w:rPr>
        <w:t>%，指标完成率</w:t>
      </w:r>
      <w:r>
        <w:rPr>
          <w:rFonts w:hint="eastAsia"/>
          <w:color w:val="auto"/>
          <w:lang w:val="en-US" w:eastAsia="zh-CN"/>
        </w:rPr>
        <w:t>100</w:t>
      </w:r>
      <w:r>
        <w:rPr>
          <w:rFonts w:hint="eastAsia"/>
          <w:color w:val="auto"/>
        </w:rPr>
        <w:t>%（指标完成率=（实际完成值/指标值）*</w:t>
      </w:r>
      <w:r>
        <w:rPr>
          <w:color w:val="auto"/>
        </w:rPr>
        <w:t>100</w:t>
      </w:r>
      <w:r>
        <w:rPr>
          <w:rFonts w:hint="eastAsia"/>
          <w:color w:val="auto"/>
        </w:rPr>
        <w:t>%），偏差原因：</w:t>
      </w:r>
      <w:r>
        <w:rPr>
          <w:rFonts w:hint="eastAsia"/>
          <w:color w:val="auto"/>
          <w:lang w:val="en-US" w:eastAsia="zh-CN"/>
        </w:rPr>
        <w:t>无</w:t>
      </w:r>
      <w:r>
        <w:rPr>
          <w:rFonts w:hint="eastAsia"/>
          <w:color w:val="auto"/>
        </w:rPr>
        <w:t>。</w:t>
      </w:r>
    </w:p>
    <w:p>
      <w:pPr>
        <w:pageBreakBefore w:val="0"/>
        <w:kinsoku/>
        <w:wordWrap/>
        <w:overflowPunct/>
        <w:topLinePunct w:val="0"/>
        <w:autoSpaceDE/>
        <w:autoSpaceDN/>
        <w:bidi w:val="0"/>
        <w:adjustRightInd/>
        <w:snapToGrid/>
        <w:spacing w:line="560" w:lineRule="exact"/>
        <w:ind w:firstLine="620" w:firstLineChars="200"/>
        <w:textAlignment w:val="auto"/>
        <w:rPr>
          <w:rFonts w:hint="eastAsia"/>
          <w:color w:val="auto"/>
          <w:lang w:val="en-US" w:eastAsia="zh-CN"/>
        </w:rPr>
      </w:pPr>
      <w:r>
        <w:rPr>
          <w:rFonts w:hint="default" w:ascii="Times New Roman" w:hAnsi="Times New Roman" w:eastAsia="方正仿宋_GBK" w:cs="Times New Roman"/>
          <w:b w:val="0"/>
          <w:bCs w:val="0"/>
          <w:color w:val="auto"/>
          <w:spacing w:val="0"/>
          <w:kern w:val="2"/>
          <w:sz w:val="31"/>
          <w:szCs w:val="31"/>
          <w:lang w:val="en-US" w:eastAsia="zh-CN" w:bidi="ar-SA"/>
        </w:rPr>
        <w:t>此项权重分</w:t>
      </w:r>
      <w:r>
        <w:rPr>
          <w:rFonts w:hint="eastAsia" w:ascii="Times New Roman" w:hAnsi="Times New Roman" w:eastAsia="方正仿宋_GBK" w:cs="Times New Roman"/>
          <w:b w:val="0"/>
          <w:bCs w:val="0"/>
          <w:color w:val="auto"/>
          <w:spacing w:val="0"/>
          <w:kern w:val="2"/>
          <w:sz w:val="31"/>
          <w:szCs w:val="31"/>
          <w:lang w:val="en-US" w:eastAsia="zh-CN" w:bidi="ar-SA"/>
        </w:rPr>
        <w:t>10</w:t>
      </w:r>
      <w:r>
        <w:rPr>
          <w:rFonts w:hint="default" w:ascii="Times New Roman" w:hAnsi="Times New Roman" w:eastAsia="方正仿宋_GBK" w:cs="Times New Roman"/>
          <w:b w:val="0"/>
          <w:bCs w:val="0"/>
          <w:color w:val="auto"/>
          <w:spacing w:val="0"/>
          <w:kern w:val="2"/>
          <w:sz w:val="31"/>
          <w:szCs w:val="31"/>
          <w:lang w:val="en-US" w:eastAsia="zh-CN" w:bidi="ar-SA"/>
        </w:rPr>
        <w:t>分，得分</w:t>
      </w:r>
      <w:r>
        <w:rPr>
          <w:rFonts w:hint="eastAsia" w:ascii="Times New Roman" w:hAnsi="Times New Roman" w:eastAsia="方正仿宋_GBK" w:cs="Times New Roman"/>
          <w:b w:val="0"/>
          <w:bCs w:val="0"/>
          <w:color w:val="auto"/>
          <w:spacing w:val="0"/>
          <w:kern w:val="2"/>
          <w:sz w:val="31"/>
          <w:szCs w:val="31"/>
          <w:lang w:val="en-US" w:eastAsia="zh-CN" w:bidi="ar-SA"/>
        </w:rPr>
        <w:t>10</w:t>
      </w:r>
      <w:r>
        <w:rPr>
          <w:rFonts w:hint="default" w:ascii="Times New Roman" w:hAnsi="Times New Roman" w:eastAsia="方正仿宋_GBK" w:cs="Times New Roman"/>
          <w:b w:val="0"/>
          <w:bCs w:val="0"/>
          <w:color w:val="auto"/>
          <w:spacing w:val="0"/>
          <w:kern w:val="2"/>
          <w:sz w:val="31"/>
          <w:szCs w:val="31"/>
          <w:lang w:val="en-US" w:eastAsia="zh-CN" w:bidi="ar-SA"/>
        </w:rPr>
        <w:t>分。</w:t>
      </w:r>
    </w:p>
    <w:p>
      <w:pPr>
        <w:spacing w:line="360" w:lineRule="auto"/>
        <w:ind w:firstLine="600" w:firstLineChars="200"/>
        <w:rPr>
          <w:rFonts w:hint="eastAsia"/>
          <w:color w:val="auto"/>
        </w:rPr>
      </w:pPr>
      <w:r>
        <w:rPr>
          <w:rFonts w:hint="eastAsia"/>
          <w:color w:val="auto"/>
          <w:lang w:val="en-US" w:eastAsia="zh-CN"/>
        </w:rPr>
        <w:t>3、</w:t>
      </w:r>
      <w:r>
        <w:rPr>
          <w:rFonts w:hint="eastAsia"/>
          <w:color w:val="auto"/>
        </w:rPr>
        <w:t>时效指标：指标1：</w:t>
      </w:r>
      <w:r>
        <w:rPr>
          <w:rFonts w:hint="eastAsia"/>
          <w:color w:val="auto"/>
        </w:rPr>
        <w:tab/>
      </w:r>
      <w:r>
        <w:rPr>
          <w:rFonts w:hint="eastAsia"/>
          <w:color w:val="auto"/>
        </w:rPr>
        <w:t>完成时限达标率，指标值：</w:t>
      </w:r>
      <w:r>
        <w:rPr>
          <w:rFonts w:hint="eastAsia"/>
          <w:color w:val="auto"/>
          <w:lang w:val="en-US" w:eastAsia="zh-CN"/>
        </w:rPr>
        <w:t>=100</w:t>
      </w:r>
      <w:r>
        <w:rPr>
          <w:color w:val="auto"/>
        </w:rPr>
        <w:t xml:space="preserve"> </w:t>
      </w:r>
      <w:r>
        <w:rPr>
          <w:rFonts w:hint="eastAsia"/>
          <w:color w:val="auto"/>
        </w:rPr>
        <w:t>%，实际完成值</w:t>
      </w:r>
      <w:r>
        <w:rPr>
          <w:rFonts w:hint="eastAsia"/>
          <w:color w:val="auto"/>
          <w:lang w:val="en-US" w:eastAsia="zh-CN"/>
        </w:rPr>
        <w:t>=60</w:t>
      </w:r>
      <w:r>
        <w:rPr>
          <w:color w:val="auto"/>
        </w:rPr>
        <w:t xml:space="preserve"> </w:t>
      </w:r>
      <w:r>
        <w:rPr>
          <w:rFonts w:hint="eastAsia"/>
          <w:color w:val="auto"/>
        </w:rPr>
        <w:t>%，指标完成率</w:t>
      </w:r>
      <w:r>
        <w:rPr>
          <w:rFonts w:hint="eastAsia"/>
          <w:color w:val="auto"/>
          <w:lang w:val="en-US" w:eastAsia="zh-CN"/>
        </w:rPr>
        <w:t>60</w:t>
      </w:r>
      <w:r>
        <w:rPr>
          <w:rFonts w:hint="eastAsia"/>
          <w:color w:val="auto"/>
        </w:rPr>
        <w:t>%（指标完成率=（实际完成值/指标值）*</w:t>
      </w:r>
      <w:r>
        <w:rPr>
          <w:color w:val="auto"/>
        </w:rPr>
        <w:t>100</w:t>
      </w:r>
      <w:r>
        <w:rPr>
          <w:rFonts w:hint="eastAsia"/>
          <w:color w:val="auto"/>
        </w:rPr>
        <w:t>%），偏差原因：</w:t>
      </w:r>
      <w:r>
        <w:rPr>
          <w:rFonts w:hint="eastAsia"/>
          <w:color w:val="auto"/>
          <w:lang w:val="en-US" w:eastAsia="zh-CN"/>
        </w:rPr>
        <w:t>廉洁文化建设工作是开展廉洁教育的重要抓手，因实际执行过程中，部分项目实施在测试接洽环节，接近年底，部分廉洁文化打造工作实际进度低于预期值。</w:t>
      </w:r>
      <w:r>
        <w:rPr>
          <w:rFonts w:hint="eastAsia"/>
          <w:color w:val="auto"/>
        </w:rPr>
        <w:t>。</w:t>
      </w:r>
    </w:p>
    <w:p>
      <w:pPr>
        <w:pageBreakBefore w:val="0"/>
        <w:kinsoku/>
        <w:wordWrap/>
        <w:overflowPunct/>
        <w:topLinePunct w:val="0"/>
        <w:autoSpaceDE/>
        <w:autoSpaceDN/>
        <w:bidi w:val="0"/>
        <w:adjustRightInd/>
        <w:snapToGrid/>
        <w:spacing w:line="560" w:lineRule="exact"/>
        <w:ind w:firstLine="620" w:firstLineChars="200"/>
        <w:textAlignment w:val="auto"/>
        <w:rPr>
          <w:rFonts w:hint="eastAsia"/>
          <w:color w:val="auto"/>
          <w:lang w:val="en-US" w:eastAsia="zh-CN"/>
        </w:rPr>
      </w:pPr>
      <w:r>
        <w:rPr>
          <w:rFonts w:hint="default" w:ascii="Times New Roman" w:hAnsi="Times New Roman" w:eastAsia="方正仿宋_GBK" w:cs="Times New Roman"/>
          <w:b w:val="0"/>
          <w:bCs w:val="0"/>
          <w:color w:val="auto"/>
          <w:spacing w:val="0"/>
          <w:kern w:val="2"/>
          <w:sz w:val="31"/>
          <w:szCs w:val="31"/>
          <w:lang w:val="en-US" w:eastAsia="zh-CN" w:bidi="ar-SA"/>
        </w:rPr>
        <w:t>此项权重分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分，得分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w:t>
      </w:r>
    </w:p>
    <w:p>
      <w:pPr>
        <w:spacing w:line="360" w:lineRule="auto"/>
        <w:ind w:firstLine="600" w:firstLineChars="200"/>
        <w:rPr>
          <w:rFonts w:hint="eastAsia"/>
          <w:color w:val="auto"/>
        </w:rPr>
      </w:pPr>
      <w:r>
        <w:rPr>
          <w:rFonts w:hint="eastAsia"/>
          <w:color w:val="auto"/>
          <w:lang w:val="en-US" w:eastAsia="zh-CN"/>
        </w:rPr>
        <w:t>4、</w:t>
      </w:r>
      <w:r>
        <w:rPr>
          <w:rFonts w:hint="eastAsia"/>
          <w:color w:val="auto"/>
        </w:rPr>
        <w:t>经济成本指标：指标1：每个县（市）投入资金，指标值：</w:t>
      </w:r>
      <w:r>
        <w:rPr>
          <w:rFonts w:hint="eastAsia"/>
          <w:color w:val="auto"/>
          <w:lang w:val="en-US" w:eastAsia="zh-CN"/>
        </w:rPr>
        <w:t>&gt;=30万元</w:t>
      </w:r>
      <w:r>
        <w:rPr>
          <w:rFonts w:hint="eastAsia"/>
          <w:color w:val="auto"/>
        </w:rPr>
        <w:t>，实际完成值</w:t>
      </w:r>
      <w:r>
        <w:rPr>
          <w:rFonts w:hint="eastAsia"/>
          <w:color w:val="auto"/>
          <w:lang w:val="en-US" w:eastAsia="zh-CN"/>
        </w:rPr>
        <w:t>=30万元</w:t>
      </w:r>
      <w:r>
        <w:rPr>
          <w:rFonts w:hint="eastAsia"/>
          <w:color w:val="auto"/>
        </w:rPr>
        <w:t>，指标完成率</w:t>
      </w:r>
      <w:r>
        <w:rPr>
          <w:rFonts w:hint="eastAsia"/>
          <w:color w:val="auto"/>
          <w:lang w:val="en-US" w:eastAsia="zh-CN"/>
        </w:rPr>
        <w:t>100</w:t>
      </w:r>
      <w:r>
        <w:rPr>
          <w:rFonts w:hint="eastAsia"/>
          <w:color w:val="auto"/>
        </w:rPr>
        <w:t>%（指标完成率=（实际完成值/指标值）*</w:t>
      </w:r>
      <w:r>
        <w:rPr>
          <w:color w:val="auto"/>
        </w:rPr>
        <w:t>100</w:t>
      </w:r>
      <w:r>
        <w:rPr>
          <w:rFonts w:hint="eastAsia"/>
          <w:color w:val="auto"/>
        </w:rPr>
        <w:t>%），偏差原因：</w:t>
      </w:r>
      <w:r>
        <w:rPr>
          <w:rFonts w:hint="eastAsia"/>
          <w:color w:val="auto"/>
          <w:lang w:val="en-US" w:eastAsia="zh-CN"/>
        </w:rPr>
        <w:t>无</w:t>
      </w:r>
      <w:r>
        <w:rPr>
          <w:rFonts w:hint="eastAsia"/>
          <w:color w:val="auto"/>
        </w:rPr>
        <w:t>。</w:t>
      </w:r>
    </w:p>
    <w:p>
      <w:pPr>
        <w:pageBreakBefore w:val="0"/>
        <w:kinsoku/>
        <w:wordWrap/>
        <w:overflowPunct/>
        <w:topLinePunct w:val="0"/>
        <w:autoSpaceDE/>
        <w:autoSpaceDN/>
        <w:bidi w:val="0"/>
        <w:adjustRightInd/>
        <w:snapToGrid/>
        <w:spacing w:line="560" w:lineRule="exact"/>
        <w:ind w:firstLine="620" w:firstLineChars="200"/>
        <w:textAlignment w:val="auto"/>
        <w:rPr>
          <w:rFonts w:hint="eastAsia" w:ascii="仿宋_GB2312" w:eastAsia="仿宋_GB2312"/>
          <w:b w:val="0"/>
          <w:bCs w:val="0"/>
          <w:color w:val="auto"/>
        </w:rPr>
      </w:pPr>
      <w:bookmarkStart w:id="15" w:name="_Toc68703841"/>
      <w:r>
        <w:rPr>
          <w:rFonts w:hint="default" w:ascii="Times New Roman" w:hAnsi="Times New Roman" w:eastAsia="方正仿宋_GBK" w:cs="Times New Roman"/>
          <w:b w:val="0"/>
          <w:bCs w:val="0"/>
          <w:color w:val="auto"/>
          <w:spacing w:val="0"/>
          <w:kern w:val="2"/>
          <w:sz w:val="31"/>
          <w:szCs w:val="31"/>
          <w:lang w:val="en-US" w:eastAsia="zh-CN" w:bidi="ar-SA"/>
        </w:rPr>
        <w:t>此项权重分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分，得分</w:t>
      </w:r>
      <w:r>
        <w:rPr>
          <w:rFonts w:hint="eastAsia" w:ascii="Times New Roman" w:hAnsi="Times New Roman" w:eastAsia="方正仿宋_GBK" w:cs="Times New Roman"/>
          <w:b w:val="0"/>
          <w:bCs w:val="0"/>
          <w:color w:val="auto"/>
          <w:spacing w:val="0"/>
          <w:kern w:val="2"/>
          <w:sz w:val="31"/>
          <w:szCs w:val="31"/>
          <w:lang w:val="en-US" w:eastAsia="zh-CN" w:bidi="ar-SA"/>
        </w:rPr>
        <w:t>5</w:t>
      </w:r>
      <w:r>
        <w:rPr>
          <w:rFonts w:hint="default" w:ascii="Times New Roman" w:hAnsi="Times New Roman" w:eastAsia="方正仿宋_GBK" w:cs="Times New Roman"/>
          <w:b w:val="0"/>
          <w:bCs w:val="0"/>
          <w:color w:val="auto"/>
          <w:spacing w:val="0"/>
          <w:kern w:val="2"/>
          <w:sz w:val="31"/>
          <w:szCs w:val="31"/>
          <w:lang w:val="en-US" w:eastAsia="zh-CN" w:bidi="ar-SA"/>
        </w:rPr>
        <w:t>分。</w:t>
      </w:r>
    </w:p>
    <w:p>
      <w:pPr>
        <w:pStyle w:val="4"/>
        <w:spacing w:line="360" w:lineRule="auto"/>
        <w:rPr>
          <w:rFonts w:ascii="仿宋_GB2312" w:eastAsia="仿宋_GB2312"/>
          <w:b w:val="0"/>
          <w:bCs w:val="0"/>
          <w:color w:val="auto"/>
        </w:rPr>
      </w:pPr>
      <w:r>
        <w:rPr>
          <w:rFonts w:hint="eastAsia" w:ascii="仿宋_GB2312" w:eastAsia="仿宋_GB2312"/>
          <w:b w:val="0"/>
          <w:bCs w:val="0"/>
          <w:color w:val="auto"/>
        </w:rPr>
        <w:t>（四）项目效益情况。</w:t>
      </w:r>
      <w:bookmarkEnd w:id="15"/>
    </w:p>
    <w:p>
      <w:pPr>
        <w:spacing w:line="360" w:lineRule="auto"/>
        <w:ind w:firstLine="600" w:firstLineChars="200"/>
        <w:rPr>
          <w:rFonts w:hint="eastAsia"/>
          <w:color w:val="auto"/>
        </w:rPr>
      </w:pPr>
      <w:r>
        <w:rPr>
          <w:rFonts w:hint="eastAsia"/>
          <w:color w:val="auto"/>
          <w:lang w:val="en-US" w:eastAsia="zh-CN"/>
        </w:rPr>
        <w:t>1、</w:t>
      </w:r>
      <w:r>
        <w:rPr>
          <w:rFonts w:hint="eastAsia"/>
          <w:color w:val="auto"/>
        </w:rPr>
        <w:t>社会效益指标：指标1：全州廉洁文化建设效果，指标值：</w:t>
      </w:r>
      <w:r>
        <w:rPr>
          <w:rFonts w:hint="eastAsia"/>
          <w:color w:val="auto"/>
          <w:lang w:val="en-US" w:eastAsia="zh-CN"/>
        </w:rPr>
        <w:t>稳步提升</w:t>
      </w:r>
      <w:r>
        <w:rPr>
          <w:rFonts w:hint="eastAsia"/>
          <w:color w:val="auto"/>
        </w:rPr>
        <w:t>，实际完成值</w:t>
      </w:r>
      <w:r>
        <w:rPr>
          <w:rFonts w:hint="eastAsia"/>
          <w:color w:val="auto"/>
          <w:lang w:val="en-US" w:eastAsia="zh-CN"/>
        </w:rPr>
        <w:t>达成目标</w:t>
      </w:r>
      <w:r>
        <w:rPr>
          <w:rFonts w:hint="eastAsia"/>
          <w:color w:val="auto"/>
        </w:rPr>
        <w:t>，指标完成率</w:t>
      </w:r>
      <w:r>
        <w:rPr>
          <w:rFonts w:hint="eastAsia"/>
          <w:color w:val="auto"/>
          <w:lang w:val="en-US" w:eastAsia="zh-CN"/>
        </w:rPr>
        <w:t>100</w:t>
      </w:r>
      <w:r>
        <w:rPr>
          <w:rFonts w:hint="eastAsia"/>
          <w:color w:val="auto"/>
        </w:rPr>
        <w:t>%（指标完成率=（实际完成值/指标值）*</w:t>
      </w:r>
      <w:r>
        <w:rPr>
          <w:color w:val="auto"/>
        </w:rPr>
        <w:t>100</w:t>
      </w:r>
      <w:r>
        <w:rPr>
          <w:rFonts w:hint="eastAsia"/>
          <w:color w:val="auto"/>
        </w:rPr>
        <w:t>%），偏差原因：</w:t>
      </w:r>
      <w:r>
        <w:rPr>
          <w:rFonts w:hint="eastAsia"/>
          <w:color w:val="auto"/>
          <w:lang w:val="en-US" w:eastAsia="zh-CN"/>
        </w:rPr>
        <w:t>无</w:t>
      </w:r>
      <w:r>
        <w:rPr>
          <w:rFonts w:hint="eastAsia"/>
          <w:color w:val="auto"/>
        </w:rPr>
        <w:t>。</w:t>
      </w:r>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 w:val="0"/>
          <w:bCs w:val="0"/>
          <w:color w:val="auto"/>
          <w:spacing w:val="0"/>
          <w:kern w:val="2"/>
          <w:sz w:val="31"/>
          <w:szCs w:val="31"/>
          <w:lang w:val="en-US" w:eastAsia="zh-CN" w:bidi="ar-SA"/>
        </w:rPr>
      </w:pPr>
      <w:r>
        <w:rPr>
          <w:rFonts w:hint="default" w:ascii="Times New Roman" w:hAnsi="Times New Roman" w:eastAsia="方正仿宋_GBK" w:cs="Times New Roman"/>
          <w:b w:val="0"/>
          <w:bCs w:val="0"/>
          <w:color w:val="auto"/>
          <w:spacing w:val="0"/>
          <w:kern w:val="2"/>
          <w:sz w:val="31"/>
          <w:szCs w:val="31"/>
          <w:lang w:val="en-US" w:eastAsia="zh-CN" w:bidi="ar-SA"/>
        </w:rPr>
        <w:t>此项权重分</w:t>
      </w:r>
      <w:r>
        <w:rPr>
          <w:rFonts w:hint="eastAsia" w:ascii="Times New Roman" w:hAnsi="Times New Roman" w:eastAsia="方正仿宋_GBK" w:cs="Times New Roman"/>
          <w:b w:val="0"/>
          <w:bCs w:val="0"/>
          <w:color w:val="auto"/>
          <w:spacing w:val="0"/>
          <w:kern w:val="2"/>
          <w:sz w:val="31"/>
          <w:szCs w:val="31"/>
          <w:lang w:val="en-US" w:eastAsia="zh-CN" w:bidi="ar-SA"/>
        </w:rPr>
        <w:t>10</w:t>
      </w:r>
      <w:r>
        <w:rPr>
          <w:rFonts w:hint="default" w:ascii="Times New Roman" w:hAnsi="Times New Roman" w:eastAsia="方正仿宋_GBK" w:cs="Times New Roman"/>
          <w:b w:val="0"/>
          <w:bCs w:val="0"/>
          <w:color w:val="auto"/>
          <w:spacing w:val="0"/>
          <w:kern w:val="2"/>
          <w:sz w:val="31"/>
          <w:szCs w:val="31"/>
          <w:lang w:val="en-US" w:eastAsia="zh-CN" w:bidi="ar-SA"/>
        </w:rPr>
        <w:t>分，得分</w:t>
      </w:r>
      <w:r>
        <w:rPr>
          <w:rFonts w:hint="eastAsia" w:ascii="Times New Roman" w:hAnsi="Times New Roman" w:eastAsia="方正仿宋_GBK" w:cs="Times New Roman"/>
          <w:b w:val="0"/>
          <w:bCs w:val="0"/>
          <w:color w:val="auto"/>
          <w:spacing w:val="0"/>
          <w:kern w:val="2"/>
          <w:sz w:val="31"/>
          <w:szCs w:val="31"/>
          <w:lang w:val="en-US" w:eastAsia="zh-CN" w:bidi="ar-SA"/>
        </w:rPr>
        <w:t>10</w:t>
      </w:r>
      <w:r>
        <w:rPr>
          <w:rFonts w:hint="default" w:ascii="Times New Roman" w:hAnsi="Times New Roman" w:eastAsia="方正仿宋_GBK" w:cs="Times New Roman"/>
          <w:b w:val="0"/>
          <w:bCs w:val="0"/>
          <w:color w:val="auto"/>
          <w:spacing w:val="0"/>
          <w:kern w:val="2"/>
          <w:sz w:val="31"/>
          <w:szCs w:val="31"/>
          <w:lang w:val="en-US" w:eastAsia="zh-CN" w:bidi="ar-SA"/>
        </w:rPr>
        <w:t>分。</w:t>
      </w:r>
    </w:p>
    <w:p>
      <w:pPr>
        <w:pStyle w:val="2"/>
        <w:jc w:val="both"/>
        <w:rPr>
          <w:rFonts w:hint="default" w:ascii="宋体" w:hAnsi="宋体" w:eastAsia="宋体" w:cs="Times New Roman"/>
          <w:b/>
          <w:bCs/>
          <w:color w:val="auto"/>
          <w:kern w:val="44"/>
          <w:sz w:val="32"/>
          <w:szCs w:val="32"/>
          <w:lang w:val="en-US" w:eastAsia="zh-Hans" w:bidi="ar-SA"/>
        </w:rPr>
      </w:pPr>
      <w:r>
        <w:rPr>
          <w:rFonts w:hint="default" w:ascii="宋体" w:hAnsi="宋体" w:eastAsia="宋体" w:cs="Times New Roman"/>
          <w:b/>
          <w:bCs/>
          <w:color w:val="auto"/>
          <w:kern w:val="44"/>
          <w:sz w:val="32"/>
          <w:szCs w:val="32"/>
          <w:lang w:val="en-US" w:eastAsia="zh-Hans" w:bidi="ar-SA"/>
        </w:rPr>
        <w:t>五、预算执行进度与绩效指标总体完成率偏差</w:t>
      </w:r>
    </w:p>
    <w:p>
      <w:pPr>
        <w:pStyle w:val="2"/>
        <w:jc w:val="left"/>
        <w:rPr>
          <w:rFonts w:hint="default" w:ascii="Times New Roman" w:hAnsi="Times New Roman" w:eastAsia="仿宋_GB2312" w:cs="Times New Roman"/>
          <w:b w:val="0"/>
          <w:bCs w:val="0"/>
          <w:color w:val="auto"/>
          <w:kern w:val="2"/>
          <w:sz w:val="30"/>
          <w:szCs w:val="24"/>
          <w:highlight w:val="none"/>
          <w:lang w:val="en-US" w:eastAsia="zh-CN" w:bidi="ar-SA"/>
        </w:rPr>
      </w:pPr>
      <w:r>
        <w:rPr>
          <w:rFonts w:hint="eastAsia" w:ascii="Times New Roman" w:hAnsi="Times New Roman" w:eastAsia="仿宋_GB2312" w:cs="Times New Roman"/>
          <w:b w:val="0"/>
          <w:bCs w:val="0"/>
          <w:color w:val="auto"/>
          <w:kern w:val="2"/>
          <w:sz w:val="30"/>
          <w:szCs w:val="24"/>
          <w:highlight w:val="none"/>
          <w:lang w:val="en-US" w:eastAsia="zh-CN" w:bidi="ar-SA"/>
        </w:rPr>
        <w:t xml:space="preserve">   </w:t>
      </w:r>
      <w:r>
        <w:rPr>
          <w:rFonts w:hint="default" w:ascii="Times New Roman" w:hAnsi="Times New Roman" w:eastAsia="仿宋_GB2312" w:cs="Times New Roman"/>
          <w:b w:val="0"/>
          <w:bCs w:val="0"/>
          <w:color w:val="auto"/>
          <w:kern w:val="2"/>
          <w:sz w:val="30"/>
          <w:szCs w:val="24"/>
          <w:highlight w:val="none"/>
          <w:lang w:val="en-US" w:eastAsia="zh-CN" w:bidi="ar-SA"/>
        </w:rPr>
        <w:t>2023年2023年新时代廉洁文化建设经费项目年初预算</w:t>
      </w:r>
      <w:r>
        <w:rPr>
          <w:rFonts w:hint="eastAsia" w:ascii="Times New Roman" w:hAnsi="Times New Roman" w:eastAsia="仿宋_GB2312" w:cs="Times New Roman"/>
          <w:b w:val="0"/>
          <w:bCs w:val="0"/>
          <w:color w:val="auto"/>
          <w:kern w:val="2"/>
          <w:sz w:val="30"/>
          <w:szCs w:val="24"/>
          <w:highlight w:val="none"/>
          <w:lang w:val="en-US" w:eastAsia="zh-CN" w:bidi="ar-SA"/>
        </w:rPr>
        <w:t>30</w:t>
      </w:r>
      <w:r>
        <w:rPr>
          <w:rFonts w:hint="default" w:ascii="Times New Roman" w:hAnsi="Times New Roman" w:eastAsia="仿宋_GB2312" w:cs="Times New Roman"/>
          <w:b w:val="0"/>
          <w:bCs w:val="0"/>
          <w:color w:val="auto"/>
          <w:kern w:val="2"/>
          <w:sz w:val="30"/>
          <w:szCs w:val="24"/>
          <w:highlight w:val="none"/>
          <w:lang w:val="en-US" w:eastAsia="zh-CN" w:bidi="ar-SA"/>
        </w:rPr>
        <w:t>万元，全年预算</w:t>
      </w:r>
      <w:r>
        <w:rPr>
          <w:rFonts w:hint="eastAsia" w:ascii="Times New Roman" w:hAnsi="Times New Roman" w:eastAsia="仿宋_GB2312" w:cs="Times New Roman"/>
          <w:b w:val="0"/>
          <w:bCs w:val="0"/>
          <w:color w:val="auto"/>
          <w:kern w:val="2"/>
          <w:sz w:val="30"/>
          <w:szCs w:val="24"/>
          <w:highlight w:val="none"/>
          <w:lang w:val="en-US" w:eastAsia="zh-CN" w:bidi="ar-SA"/>
        </w:rPr>
        <w:t>30</w:t>
      </w:r>
      <w:r>
        <w:rPr>
          <w:rFonts w:hint="default" w:ascii="Times New Roman" w:hAnsi="Times New Roman" w:eastAsia="仿宋_GB2312" w:cs="Times New Roman"/>
          <w:b w:val="0"/>
          <w:bCs w:val="0"/>
          <w:color w:val="auto"/>
          <w:kern w:val="2"/>
          <w:sz w:val="30"/>
          <w:szCs w:val="24"/>
          <w:highlight w:val="none"/>
          <w:lang w:val="en-US" w:eastAsia="zh-CN" w:bidi="ar-SA"/>
        </w:rPr>
        <w:t>万元，实际支出</w:t>
      </w:r>
      <w:r>
        <w:rPr>
          <w:rFonts w:hint="eastAsia" w:ascii="Times New Roman" w:hAnsi="Times New Roman" w:eastAsia="仿宋_GB2312" w:cs="Times New Roman"/>
          <w:b w:val="0"/>
          <w:bCs w:val="0"/>
          <w:color w:val="auto"/>
          <w:kern w:val="2"/>
          <w:sz w:val="30"/>
          <w:szCs w:val="24"/>
          <w:highlight w:val="none"/>
          <w:lang w:val="en-US" w:eastAsia="zh-CN" w:bidi="ar-SA"/>
        </w:rPr>
        <w:t>30</w:t>
      </w:r>
      <w:r>
        <w:rPr>
          <w:rFonts w:hint="default" w:ascii="Times New Roman" w:hAnsi="Times New Roman" w:eastAsia="仿宋_GB2312" w:cs="Times New Roman"/>
          <w:b w:val="0"/>
          <w:bCs w:val="0"/>
          <w:color w:val="auto"/>
          <w:kern w:val="2"/>
          <w:sz w:val="30"/>
          <w:szCs w:val="24"/>
          <w:highlight w:val="none"/>
          <w:lang w:val="en-US" w:eastAsia="zh-CN" w:bidi="ar-SA"/>
        </w:rPr>
        <w:t>万元，预算执行率为0%，项目绩效指标总体完成率为</w:t>
      </w:r>
      <w:r>
        <w:rPr>
          <w:rFonts w:hint="eastAsia" w:ascii="Times New Roman" w:hAnsi="Times New Roman" w:eastAsia="仿宋_GB2312" w:cs="Times New Roman"/>
          <w:b w:val="0"/>
          <w:bCs w:val="0"/>
          <w:color w:val="auto"/>
          <w:kern w:val="2"/>
          <w:sz w:val="30"/>
          <w:szCs w:val="24"/>
          <w:highlight w:val="none"/>
          <w:lang w:val="en-US" w:eastAsia="zh-CN" w:bidi="ar-SA"/>
        </w:rPr>
        <w:t>100</w:t>
      </w:r>
      <w:r>
        <w:rPr>
          <w:rFonts w:hint="default" w:ascii="Times New Roman" w:hAnsi="Times New Roman" w:eastAsia="仿宋_GB2312" w:cs="Times New Roman"/>
          <w:b w:val="0"/>
          <w:bCs w:val="0"/>
          <w:color w:val="auto"/>
          <w:kern w:val="2"/>
          <w:sz w:val="30"/>
          <w:szCs w:val="24"/>
          <w:highlight w:val="none"/>
          <w:lang w:val="en-US" w:eastAsia="zh-CN" w:bidi="ar-SA"/>
        </w:rPr>
        <w:t>%，</w:t>
      </w:r>
      <w:r>
        <w:rPr>
          <w:rFonts w:hint="eastAsia" w:ascii="Times New Roman" w:hAnsi="Times New Roman" w:eastAsia="仿宋_GB2312" w:cs="Times New Roman"/>
          <w:b w:val="0"/>
          <w:bCs w:val="0"/>
          <w:color w:val="auto"/>
          <w:kern w:val="2"/>
          <w:sz w:val="30"/>
          <w:szCs w:val="24"/>
          <w:highlight w:val="none"/>
          <w:lang w:val="en-US" w:eastAsia="zh-CN" w:bidi="ar-SA"/>
        </w:rPr>
        <w:t>总</w:t>
      </w:r>
      <w:r>
        <w:rPr>
          <w:rFonts w:hint="default" w:ascii="Times New Roman" w:hAnsi="Times New Roman" w:eastAsia="仿宋_GB2312" w:cs="Times New Roman"/>
          <w:b w:val="0"/>
          <w:bCs w:val="0"/>
          <w:color w:val="auto"/>
          <w:kern w:val="2"/>
          <w:sz w:val="30"/>
          <w:szCs w:val="24"/>
          <w:highlight w:val="none"/>
          <w:lang w:val="en-US" w:eastAsia="zh-Hans" w:bidi="ar-SA"/>
        </w:rPr>
        <w:t>体</w:t>
      </w:r>
      <w:r>
        <w:rPr>
          <w:rFonts w:hint="default" w:ascii="Times New Roman" w:hAnsi="Times New Roman" w:eastAsia="仿宋_GB2312" w:cs="Times New Roman"/>
          <w:b w:val="0"/>
          <w:bCs w:val="0"/>
          <w:color w:val="auto"/>
          <w:kern w:val="2"/>
          <w:sz w:val="30"/>
          <w:szCs w:val="24"/>
          <w:highlight w:val="none"/>
          <w:lang w:val="en-US" w:eastAsia="zh-CN" w:bidi="ar-SA"/>
        </w:rPr>
        <w:t>偏差率</w:t>
      </w:r>
      <w:r>
        <w:rPr>
          <w:rFonts w:hint="eastAsia" w:ascii="Times New Roman" w:hAnsi="Times New Roman" w:eastAsia="仿宋_GB2312" w:cs="Times New Roman"/>
          <w:b w:val="0"/>
          <w:bCs w:val="0"/>
          <w:color w:val="auto"/>
          <w:kern w:val="2"/>
          <w:sz w:val="30"/>
          <w:szCs w:val="24"/>
          <w:highlight w:val="none"/>
          <w:lang w:val="en-US" w:eastAsia="zh-CN" w:bidi="ar-SA"/>
        </w:rPr>
        <w:t>10</w:t>
      </w:r>
      <w:r>
        <w:rPr>
          <w:rFonts w:hint="default" w:ascii="Times New Roman" w:hAnsi="Times New Roman" w:eastAsia="仿宋_GB2312" w:cs="Times New Roman"/>
          <w:b w:val="0"/>
          <w:bCs w:val="0"/>
          <w:color w:val="auto"/>
          <w:kern w:val="2"/>
          <w:sz w:val="30"/>
          <w:szCs w:val="24"/>
          <w:highlight w:val="none"/>
          <w:lang w:val="en-US" w:eastAsia="zh-CN" w:bidi="ar-SA"/>
        </w:rPr>
        <w:t>%,</w:t>
      </w:r>
      <w:r>
        <w:rPr>
          <w:rFonts w:hint="default" w:ascii="Times New Roman" w:hAnsi="Times New Roman" w:eastAsia="仿宋_GB2312" w:cs="Times New Roman"/>
          <w:b w:val="0"/>
          <w:bCs w:val="0"/>
          <w:color w:val="auto"/>
          <w:kern w:val="2"/>
          <w:sz w:val="30"/>
          <w:szCs w:val="24"/>
          <w:highlight w:val="none"/>
          <w:lang w:val="en-US" w:eastAsia="zh-Hans" w:bidi="ar-SA"/>
        </w:rPr>
        <w:t>偏差</w:t>
      </w:r>
      <w:r>
        <w:rPr>
          <w:rFonts w:hint="default" w:ascii="Times New Roman" w:hAnsi="Times New Roman" w:eastAsia="仿宋_GB2312" w:cs="Times New Roman"/>
          <w:b w:val="0"/>
          <w:bCs w:val="0"/>
          <w:color w:val="auto"/>
          <w:kern w:val="2"/>
          <w:sz w:val="30"/>
          <w:szCs w:val="24"/>
          <w:highlight w:val="none"/>
          <w:lang w:val="en-US" w:eastAsia="zh-CN" w:bidi="ar-SA"/>
        </w:rPr>
        <w:t>原因</w:t>
      </w:r>
      <w:r>
        <w:rPr>
          <w:rFonts w:hint="eastAsia" w:ascii="Times New Roman" w:hAnsi="Times New Roman" w:eastAsia="仿宋_GB2312" w:cs="Times New Roman"/>
          <w:b w:val="0"/>
          <w:bCs w:val="0"/>
          <w:color w:val="auto"/>
          <w:kern w:val="2"/>
          <w:sz w:val="30"/>
          <w:szCs w:val="24"/>
          <w:highlight w:val="none"/>
          <w:lang w:val="en-US" w:eastAsia="zh-CN" w:bidi="ar-SA"/>
        </w:rPr>
        <w:t>无</w:t>
      </w:r>
      <w:bookmarkStart w:id="21" w:name="_GoBack"/>
      <w:bookmarkEnd w:id="21"/>
      <w:r>
        <w:rPr>
          <w:rFonts w:hint="default" w:ascii="Times New Roman" w:hAnsi="Times New Roman" w:eastAsia="仿宋_GB2312" w:cs="Times New Roman"/>
          <w:b w:val="0"/>
          <w:bCs w:val="0"/>
          <w:color w:val="auto"/>
          <w:kern w:val="2"/>
          <w:sz w:val="30"/>
          <w:szCs w:val="24"/>
          <w:highlight w:val="none"/>
          <w:lang w:val="en-US" w:eastAsia="zh-CN" w:bidi="ar-SA"/>
        </w:rPr>
        <w:t>，</w:t>
      </w:r>
      <w:r>
        <w:rPr>
          <w:rFonts w:hint="default" w:ascii="Times New Roman" w:hAnsi="Times New Roman" w:eastAsia="仿宋_GB2312" w:cs="Times New Roman"/>
          <w:b w:val="0"/>
          <w:bCs w:val="0"/>
          <w:color w:val="auto"/>
          <w:kern w:val="2"/>
          <w:sz w:val="30"/>
          <w:szCs w:val="24"/>
          <w:highlight w:val="none"/>
          <w:lang w:val="en-US" w:eastAsia="zh-Hans" w:bidi="ar-SA"/>
        </w:rPr>
        <w:t>改进</w:t>
      </w:r>
      <w:r>
        <w:rPr>
          <w:rFonts w:hint="default" w:ascii="Times New Roman" w:hAnsi="Times New Roman" w:eastAsia="仿宋_GB2312" w:cs="Times New Roman"/>
          <w:b w:val="0"/>
          <w:bCs w:val="0"/>
          <w:color w:val="auto"/>
          <w:kern w:val="2"/>
          <w:sz w:val="30"/>
          <w:szCs w:val="24"/>
          <w:highlight w:val="none"/>
          <w:lang w:val="en-US" w:eastAsia="zh-CN" w:bidi="ar-SA"/>
        </w:rPr>
        <w:t>措施</w:t>
      </w:r>
      <w:r>
        <w:rPr>
          <w:rFonts w:hint="eastAsia" w:ascii="Times New Roman" w:hAnsi="Times New Roman" w:eastAsia="仿宋_GB2312" w:cs="Times New Roman"/>
          <w:b w:val="0"/>
          <w:bCs w:val="0"/>
          <w:color w:val="auto"/>
          <w:kern w:val="2"/>
          <w:sz w:val="30"/>
          <w:szCs w:val="24"/>
          <w:highlight w:val="none"/>
          <w:lang w:val="en-US" w:eastAsia="zh-CN" w:bidi="ar-SA"/>
        </w:rPr>
        <w:t>：无。</w:t>
      </w:r>
    </w:p>
    <w:p>
      <w:pPr>
        <w:pStyle w:val="3"/>
        <w:spacing w:line="360" w:lineRule="auto"/>
        <w:rPr>
          <w:rFonts w:ascii="宋体" w:hAnsi="宋体" w:eastAsia="宋体"/>
          <w:color w:val="auto"/>
          <w:sz w:val="32"/>
          <w:szCs w:val="32"/>
        </w:rPr>
      </w:pPr>
      <w:bookmarkStart w:id="16" w:name="_Toc68703842"/>
      <w:r>
        <w:rPr>
          <w:rFonts w:hint="eastAsia" w:ascii="宋体" w:hAnsi="宋体" w:eastAsia="宋体"/>
          <w:color w:val="auto"/>
          <w:sz w:val="32"/>
          <w:szCs w:val="32"/>
          <w:lang w:val="en-US" w:eastAsia="zh-CN"/>
        </w:rPr>
        <w:t>六</w:t>
      </w:r>
      <w:r>
        <w:rPr>
          <w:rFonts w:hint="eastAsia" w:ascii="宋体" w:hAnsi="宋体" w:eastAsia="宋体"/>
          <w:color w:val="auto"/>
          <w:sz w:val="32"/>
          <w:szCs w:val="32"/>
        </w:rPr>
        <w:t>、主要经验及做法、存在的问题及原因分析</w:t>
      </w:r>
      <w:bookmarkEnd w:id="16"/>
    </w:p>
    <w:p>
      <w:pPr>
        <w:pStyle w:val="4"/>
        <w:spacing w:line="360" w:lineRule="auto"/>
        <w:rPr>
          <w:rFonts w:ascii="仿宋_GB2312" w:eastAsia="仿宋_GB2312"/>
          <w:b w:val="0"/>
          <w:bCs w:val="0"/>
          <w:color w:val="auto"/>
        </w:rPr>
      </w:pPr>
      <w:bookmarkStart w:id="17" w:name="_Toc68703843"/>
      <w:r>
        <w:rPr>
          <w:rFonts w:hint="eastAsia" w:ascii="仿宋_GB2312" w:eastAsia="仿宋_GB2312"/>
          <w:b w:val="0"/>
          <w:bCs w:val="0"/>
          <w:color w:val="auto"/>
        </w:rPr>
        <w:t>（一）主要经验及做法</w:t>
      </w:r>
      <w:bookmarkEnd w:id="17"/>
    </w:p>
    <w:p>
      <w:pPr>
        <w:pStyle w:val="4"/>
        <w:spacing w:line="360" w:lineRule="auto"/>
        <w:ind w:firstLine="600" w:firstLineChars="200"/>
        <w:rPr>
          <w:rFonts w:hint="eastAsia" w:ascii="Times New Roman" w:hAnsi="Times New Roman" w:eastAsia="仿宋_GB2312" w:cs="Times New Roman"/>
          <w:b w:val="0"/>
          <w:bCs w:val="0"/>
          <w:color w:val="auto"/>
          <w:kern w:val="2"/>
          <w:sz w:val="30"/>
          <w:szCs w:val="24"/>
          <w:highlight w:val="none"/>
          <w:lang w:val="en-US" w:eastAsia="zh-CN" w:bidi="ar-SA"/>
        </w:rPr>
      </w:pPr>
      <w:bookmarkStart w:id="18" w:name="_Toc68703844"/>
      <w:r>
        <w:rPr>
          <w:rFonts w:hint="eastAsia" w:ascii="Times New Roman" w:hAnsi="Times New Roman" w:eastAsia="仿宋_GB2312" w:cs="Times New Roman"/>
          <w:b w:val="0"/>
          <w:bCs w:val="0"/>
          <w:color w:val="auto"/>
          <w:kern w:val="2"/>
          <w:sz w:val="30"/>
          <w:szCs w:val="24"/>
          <w:highlight w:val="none"/>
          <w:lang w:val="en-US" w:eastAsia="zh-CN" w:bidi="ar-SA"/>
        </w:rPr>
        <w:t>此项目实施主要目标为加强新时代廉洁文化建设，高质量推进且末县新时代廉洁文化建设，项目资金下达后，我单位结合客观实际，及时开会讨论研究，结合各乡镇廉洁文化建设实际分配项目资金，所有资金使用严格按审批程序办理、操作规范，会计核算结果真实、准确，各项支出严格按照各项制度执行。</w:t>
      </w:r>
    </w:p>
    <w:p>
      <w:pPr>
        <w:pStyle w:val="4"/>
        <w:spacing w:line="360" w:lineRule="auto"/>
        <w:rPr>
          <w:rFonts w:hint="eastAsia" w:ascii="仿宋_GB2312" w:eastAsia="仿宋_GB2312"/>
          <w:b w:val="0"/>
          <w:bCs w:val="0"/>
          <w:color w:val="auto"/>
        </w:rPr>
      </w:pPr>
      <w:r>
        <w:rPr>
          <w:rFonts w:hint="eastAsia" w:ascii="仿宋_GB2312" w:eastAsia="仿宋_GB2312"/>
          <w:b w:val="0"/>
          <w:bCs w:val="0"/>
          <w:color w:val="auto"/>
        </w:rPr>
        <w:t>（二）存在的问题及原因分析</w:t>
      </w:r>
      <w:bookmarkEnd w:id="18"/>
    </w:p>
    <w:p>
      <w:pPr>
        <w:ind w:firstLine="600" w:firstLineChars="200"/>
      </w:pPr>
      <w:r>
        <w:rPr>
          <w:rFonts w:hint="eastAsia"/>
        </w:rPr>
        <w:t>项目资金下达后，在使用过程中重视度不够。</w:t>
      </w:r>
    </w:p>
    <w:p>
      <w:pPr>
        <w:pStyle w:val="3"/>
        <w:numPr>
          <w:ilvl w:val="0"/>
          <w:numId w:val="0"/>
        </w:numPr>
        <w:spacing w:line="360" w:lineRule="auto"/>
        <w:rPr>
          <w:rFonts w:hint="eastAsia" w:ascii="宋体" w:hAnsi="宋体" w:eastAsia="宋体"/>
          <w:color w:val="auto"/>
          <w:sz w:val="32"/>
          <w:szCs w:val="32"/>
        </w:rPr>
      </w:pPr>
      <w:bookmarkStart w:id="19" w:name="_Toc68703845"/>
      <w:r>
        <w:rPr>
          <w:rFonts w:hint="eastAsia" w:ascii="宋体" w:hAnsi="宋体" w:eastAsia="宋体"/>
          <w:color w:val="auto"/>
          <w:sz w:val="32"/>
          <w:szCs w:val="32"/>
          <w:lang w:val="en-US" w:eastAsia="zh-CN"/>
        </w:rPr>
        <w:t>七、</w:t>
      </w:r>
      <w:r>
        <w:rPr>
          <w:rFonts w:hint="eastAsia" w:ascii="宋体" w:hAnsi="宋体" w:eastAsia="宋体"/>
          <w:color w:val="auto"/>
          <w:sz w:val="32"/>
          <w:szCs w:val="32"/>
        </w:rPr>
        <w:t>有关建议</w:t>
      </w:r>
      <w:bookmarkEnd w:id="19"/>
    </w:p>
    <w:p>
      <w:pPr>
        <w:spacing w:line="360" w:lineRule="auto"/>
        <w:ind w:firstLine="600" w:firstLineChars="200"/>
        <w:rPr>
          <w:rFonts w:hint="eastAsia"/>
          <w:color w:val="auto"/>
          <w:highlight w:val="none"/>
          <w:lang w:val="en-US" w:eastAsia="zh-CN"/>
        </w:rPr>
      </w:pPr>
      <w:r>
        <w:rPr>
          <w:rFonts w:hint="eastAsia"/>
          <w:color w:val="auto"/>
          <w:highlight w:val="none"/>
          <w:lang w:val="en-US" w:eastAsia="zh-CN"/>
        </w:rPr>
        <w:t>加强同各乡镇的沟通，严格分配廉洁文化建设资金，指定安排专人负责跟踪实施，从项目的绩效目标的申报、监控、自评进行全过程、全方位的管理。</w:t>
      </w:r>
    </w:p>
    <w:p>
      <w:pPr>
        <w:spacing w:line="360" w:lineRule="auto"/>
        <w:ind w:firstLine="600" w:firstLineChars="200"/>
        <w:rPr>
          <w:rFonts w:hint="eastAsia"/>
          <w:color w:val="auto"/>
          <w:highlight w:val="none"/>
          <w:lang w:val="en-US" w:eastAsia="zh-CN"/>
        </w:rPr>
      </w:pPr>
      <w:r>
        <w:rPr>
          <w:rFonts w:hint="eastAsia"/>
          <w:color w:val="auto"/>
          <w:highlight w:val="none"/>
          <w:lang w:val="en-US" w:eastAsia="zh-CN"/>
        </w:rPr>
        <w:t>根据年度项目资金安排，实时把握各项目进度，合理预测各项目年度资金需求，将项目资金明确到具体项目，实现项目资金严格管理，精准使用。严格按照预算编制的相关制度和要求进行预算编制，全面编制预算项目，进一步提高预算编制的科学性、严谨性和可控性。</w:t>
      </w:r>
    </w:p>
    <w:p>
      <w:pPr>
        <w:spacing w:line="360" w:lineRule="auto"/>
        <w:ind w:firstLine="600" w:firstLineChars="200"/>
        <w:rPr>
          <w:rFonts w:hint="eastAsia"/>
          <w:color w:val="auto"/>
          <w:highlight w:val="none"/>
          <w:lang w:val="en-US" w:eastAsia="zh-CN"/>
        </w:rPr>
      </w:pPr>
      <w:r>
        <w:rPr>
          <w:rFonts w:hint="eastAsia"/>
          <w:color w:val="auto"/>
          <w:highlight w:val="none"/>
          <w:lang w:val="en-US" w:eastAsia="zh-CN"/>
        </w:rPr>
        <w:t>建立健全对应的项目资金管理办法，明确各项目资金使用范围，防范资金使用风险，按照年度工作计划和预算对项目资金实行专款专用，严禁截留、挪用和超出预算批复内容使用资金。加强项目财务核算管理加强项目单位财务人员的教育培训，提高财务核算管理水平。规范项目资金的使用及核算管理。</w:t>
      </w:r>
    </w:p>
    <w:p>
      <w:pPr>
        <w:spacing w:line="360" w:lineRule="auto"/>
        <w:ind w:firstLine="600" w:firstLineChars="200"/>
        <w:rPr>
          <w:rFonts w:hint="eastAsia"/>
          <w:color w:val="auto"/>
          <w:highlight w:val="none"/>
          <w:lang w:val="en-US" w:eastAsia="zh-CN"/>
        </w:rPr>
      </w:pPr>
      <w:r>
        <w:rPr>
          <w:rFonts w:hint="eastAsia"/>
          <w:color w:val="auto"/>
          <w:highlight w:val="none"/>
          <w:lang w:val="en-US" w:eastAsia="zh-CN"/>
        </w:rPr>
        <w:t>严格落实立项审批程序和标准，严格管理控制。项目立项后无特殊情况应及时实施，单位应加强项目前期调度，严格控制建设工期，避免因工期延长导致成本增加；加强项目实施的跟踪管理，对日常发现的问题及时发现、提出，认真分析原因，对发现的问题及时进行整改。</w:t>
      </w:r>
    </w:p>
    <w:p>
      <w:pPr>
        <w:pStyle w:val="3"/>
        <w:spacing w:line="360" w:lineRule="auto"/>
        <w:rPr>
          <w:rFonts w:ascii="宋体" w:hAnsi="宋体" w:eastAsia="宋体"/>
          <w:color w:val="auto"/>
          <w:sz w:val="32"/>
          <w:szCs w:val="32"/>
        </w:rPr>
      </w:pPr>
      <w:bookmarkStart w:id="20" w:name="_Toc68703846"/>
      <w:r>
        <w:rPr>
          <w:rFonts w:hint="eastAsia" w:ascii="宋体" w:hAnsi="宋体" w:eastAsia="宋体"/>
          <w:color w:val="auto"/>
          <w:sz w:val="32"/>
          <w:szCs w:val="32"/>
          <w:lang w:val="en-US" w:eastAsia="zh-CN"/>
        </w:rPr>
        <w:t>八</w:t>
      </w:r>
      <w:r>
        <w:rPr>
          <w:rFonts w:hint="eastAsia" w:ascii="宋体" w:hAnsi="宋体" w:eastAsia="宋体"/>
          <w:color w:val="auto"/>
          <w:sz w:val="32"/>
          <w:szCs w:val="32"/>
        </w:rPr>
        <w:t>、其他需要说明的问题</w:t>
      </w:r>
      <w:bookmarkEnd w:id="20"/>
    </w:p>
    <w:p>
      <w:pPr>
        <w:spacing w:line="360" w:lineRule="auto"/>
        <w:rPr>
          <w:rFonts w:hint="eastAsia" w:eastAsia="仿宋_GB2312"/>
          <w:color w:val="auto"/>
          <w:lang w:eastAsia="zh-CN"/>
        </w:rPr>
      </w:pPr>
      <w:r>
        <w:rPr>
          <w:rFonts w:hint="eastAsia"/>
          <w:color w:val="auto"/>
          <w:lang w:val="en-US" w:eastAsia="zh-CN"/>
        </w:rPr>
        <w:t>无</w:t>
      </w:r>
    </w:p>
    <w:p>
      <w:pPr>
        <w:rPr>
          <w:color w:val="auto"/>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altName w:val="黑体"/>
    <w:panose1 w:val="03000509000000000000"/>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panose1 w:val="02010600030101010101"/>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761662"/>
    <w:multiLevelType w:val="singleLevel"/>
    <w:tmpl w:val="95761662"/>
    <w:lvl w:ilvl="0" w:tentative="0">
      <w:start w:val="1"/>
      <w:numFmt w:val="decimal"/>
      <w:suff w:val="nothing"/>
      <w:lvlText w:val="%1、"/>
      <w:lvlJc w:val="left"/>
    </w:lvl>
  </w:abstractNum>
  <w:abstractNum w:abstractNumId="1">
    <w:nsid w:val="9F85EA7D"/>
    <w:multiLevelType w:val="singleLevel"/>
    <w:tmpl w:val="9F85EA7D"/>
    <w:lvl w:ilvl="0" w:tentative="0">
      <w:start w:val="6"/>
      <w:numFmt w:val="decimal"/>
      <w:suff w:val="nothing"/>
      <w:lvlText w:val="%1、"/>
      <w:lvlJc w:val="left"/>
    </w:lvl>
  </w:abstractNum>
  <w:abstractNum w:abstractNumId="2">
    <w:nsid w:val="B6BB5476"/>
    <w:multiLevelType w:val="singleLevel"/>
    <w:tmpl w:val="B6BB5476"/>
    <w:lvl w:ilvl="0" w:tentative="0">
      <w:start w:val="2"/>
      <w:numFmt w:val="chineseCounting"/>
      <w:suff w:val="nothing"/>
      <w:lvlText w:val="（%1）"/>
      <w:lvlJc w:val="left"/>
      <w:rPr>
        <w:rFonts w:hint="eastAsia"/>
      </w:rPr>
    </w:lvl>
  </w:abstractNum>
  <w:abstractNum w:abstractNumId="3">
    <w:nsid w:val="CB618F95"/>
    <w:multiLevelType w:val="singleLevel"/>
    <w:tmpl w:val="CB618F95"/>
    <w:lvl w:ilvl="0" w:tentative="0">
      <w:start w:val="4"/>
      <w:numFmt w:val="decimal"/>
      <w:suff w:val="nothing"/>
      <w:lvlText w:val="%1、"/>
      <w:lvlJc w:val="left"/>
    </w:lvl>
  </w:abstractNum>
  <w:abstractNum w:abstractNumId="4">
    <w:nsid w:val="1A59CDD2"/>
    <w:multiLevelType w:val="singleLevel"/>
    <w:tmpl w:val="1A59CDD2"/>
    <w:lvl w:ilvl="0" w:tentative="0">
      <w:start w:val="1"/>
      <w:numFmt w:val="decimal"/>
      <w:suff w:val="nothing"/>
      <w:lvlText w:val="%1、"/>
      <w:lvlJc w:val="left"/>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9C5"/>
    <w:rsid w:val="00614288"/>
    <w:rsid w:val="007D49C5"/>
    <w:rsid w:val="008C631D"/>
    <w:rsid w:val="01E363C4"/>
    <w:rsid w:val="058B741E"/>
    <w:rsid w:val="0BC86578"/>
    <w:rsid w:val="0C565161"/>
    <w:rsid w:val="0C6F64F0"/>
    <w:rsid w:val="0FFA6174"/>
    <w:rsid w:val="124501D2"/>
    <w:rsid w:val="136F2DD0"/>
    <w:rsid w:val="13744B58"/>
    <w:rsid w:val="1DED0ADD"/>
    <w:rsid w:val="1EE0166E"/>
    <w:rsid w:val="1EF33BDF"/>
    <w:rsid w:val="236D229B"/>
    <w:rsid w:val="248D0ECE"/>
    <w:rsid w:val="28083E82"/>
    <w:rsid w:val="2A3556FC"/>
    <w:rsid w:val="2BD05345"/>
    <w:rsid w:val="2D0F0046"/>
    <w:rsid w:val="34B67B68"/>
    <w:rsid w:val="41CE073D"/>
    <w:rsid w:val="46B707CE"/>
    <w:rsid w:val="47B72841"/>
    <w:rsid w:val="47E84AB3"/>
    <w:rsid w:val="49C46D77"/>
    <w:rsid w:val="4B925588"/>
    <w:rsid w:val="4BF41CB4"/>
    <w:rsid w:val="4C660AF4"/>
    <w:rsid w:val="4DE417B2"/>
    <w:rsid w:val="4E6777E3"/>
    <w:rsid w:val="4FDE109D"/>
    <w:rsid w:val="510B4942"/>
    <w:rsid w:val="516C7B7F"/>
    <w:rsid w:val="58C9509A"/>
    <w:rsid w:val="58D00D8B"/>
    <w:rsid w:val="5C1964EF"/>
    <w:rsid w:val="5C9A4CDA"/>
    <w:rsid w:val="628B0C45"/>
    <w:rsid w:val="690E595C"/>
    <w:rsid w:val="6B466152"/>
    <w:rsid w:val="6BCB5379"/>
    <w:rsid w:val="6C336FC0"/>
    <w:rsid w:val="6E2B5EED"/>
    <w:rsid w:val="6EB22882"/>
    <w:rsid w:val="6EDF0861"/>
    <w:rsid w:val="70A42820"/>
    <w:rsid w:val="75BF40AB"/>
    <w:rsid w:val="771D2A59"/>
    <w:rsid w:val="78CD50AC"/>
    <w:rsid w:val="7B263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0"/>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6">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customStyle="1" w:styleId="10">
    <w:name w:val="标题 1 字符"/>
    <w:basedOn w:val="8"/>
    <w:link w:val="3"/>
    <w:qFormat/>
    <w:uiPriority w:val="9"/>
    <w:rPr>
      <w:rFonts w:ascii="Times New Roman" w:hAnsi="Times New Roman" w:eastAsia="仿宋_GB2312" w:cs="Times New Roman"/>
      <w:b/>
      <w:bCs/>
      <w:kern w:val="44"/>
      <w:sz w:val="44"/>
      <w:szCs w:val="44"/>
    </w:rPr>
  </w:style>
  <w:style w:type="character" w:customStyle="1" w:styleId="11">
    <w:name w:val="标题 2 字符"/>
    <w:basedOn w:val="8"/>
    <w:link w:val="4"/>
    <w:qFormat/>
    <w:uiPriority w:val="9"/>
    <w:rPr>
      <w:rFonts w:asciiTheme="majorHAnsi" w:hAnsiTheme="majorHAnsi" w:eastAsiaTheme="majorEastAsia" w:cstheme="majorBidi"/>
      <w:b/>
      <w:bCs/>
      <w:sz w:val="32"/>
      <w:szCs w:val="32"/>
    </w:rPr>
  </w:style>
  <w:style w:type="paragraph" w:customStyle="1" w:styleId="12">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1037</Words>
  <Characters>5913</Characters>
  <Lines>49</Lines>
  <Paragraphs>13</Paragraphs>
  <TotalTime>5</TotalTime>
  <ScaleCrop>false</ScaleCrop>
  <LinksUpToDate>false</LinksUpToDate>
  <CharactersWithSpaces>6937</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cp:lastPrinted>2023-03-18T10:39:00Z</cp:lastPrinted>
  <dcterms:modified xsi:type="dcterms:W3CDTF">2015-01-17T18:21:53Z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66774D411AD148928F5CB87A18A0E072</vt:lpwstr>
  </property>
</Properties>
</file>