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200"/>
        <w:jc w:val="center"/>
        <w:textAlignment w:val="auto"/>
        <w:rPr>
          <w:rFonts w:ascii="宋体" w:hAnsi="宋体" w:eastAsia="宋体" w:cs="Arial"/>
          <w:b/>
          <w:bCs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200"/>
        <w:jc w:val="center"/>
        <w:textAlignment w:val="auto"/>
        <w:rPr>
          <w:rFonts w:ascii="宋体" w:hAnsi="宋体" w:eastAsia="宋体" w:cs="Arial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21" w:name="_GoBack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2023年新疆煤改电二期工程项目补助资金</w:t>
      </w:r>
      <w:bookmarkEnd w:id="21"/>
      <w:r>
        <w:rPr>
          <w:rFonts w:hint="eastAsia" w:ascii="宋体" w:hAnsi="宋体" w:eastAsia="宋体" w:cs="宋体"/>
          <w:b/>
          <w:bCs/>
          <w:sz w:val="48"/>
          <w:szCs w:val="48"/>
        </w:rPr>
        <w:t>项目支出绩效评价报告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200"/>
        <w:jc w:val="left"/>
        <w:textAlignment w:val="auto"/>
        <w:rPr>
          <w:rFonts w:ascii="宋体" w:hAnsi="宋体" w:eastAsia="宋体" w:cs="Arial"/>
          <w:b/>
          <w:bCs/>
          <w:sz w:val="48"/>
          <w:szCs w:val="4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ascii="仿宋_GB2312" w:hAnsi="仿宋_GB2312" w:cs="仿宋_GB2312"/>
          <w:b/>
          <w:kern w:val="0"/>
          <w:sz w:val="50"/>
          <w:szCs w:val="50"/>
          <w:lang w:bidi="en-US"/>
        </w:rPr>
      </w:pPr>
      <w:r>
        <w:rPr>
          <w:rFonts w:hint="eastAsia" w:ascii="红豆小标宋简体" w:hAnsi="红豆小标宋简体" w:eastAsia="红豆小标宋简体" w:cs="红豆小标宋简体"/>
          <w:color w:val="000000"/>
          <w:kern w:val="0"/>
          <w:sz w:val="36"/>
          <w:szCs w:val="36"/>
        </w:rPr>
        <w:t>（2</w:t>
      </w:r>
      <w:r>
        <w:rPr>
          <w:rFonts w:ascii="红豆小标宋简体" w:hAnsi="红豆小标宋简体" w:eastAsia="红豆小标宋简体" w:cs="红豆小标宋简体"/>
          <w:color w:val="000000"/>
          <w:kern w:val="0"/>
          <w:sz w:val="36"/>
          <w:szCs w:val="36"/>
        </w:rPr>
        <w:t>02</w:t>
      </w:r>
      <w:r>
        <w:rPr>
          <w:rFonts w:hint="eastAsia" w:ascii="红豆小标宋简体" w:hAnsi="红豆小标宋简体" w:eastAsia="红豆小标宋简体" w:cs="红豆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红豆小标宋简体" w:hAnsi="红豆小标宋简体" w:eastAsia="红豆小标宋简体" w:cs="红豆小标宋简体"/>
          <w:color w:val="000000"/>
          <w:kern w:val="0"/>
          <w:sz w:val="36"/>
          <w:szCs w:val="36"/>
        </w:rPr>
        <w:t>年度）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04" w:firstLineChars="200"/>
        <w:jc w:val="center"/>
        <w:textAlignment w:val="auto"/>
        <w:rPr>
          <w:rFonts w:ascii="仿宋_GB2312" w:hAnsi="仿宋_GB2312" w:cs="仿宋_GB2312"/>
          <w:b/>
          <w:kern w:val="0"/>
          <w:sz w:val="50"/>
          <w:szCs w:val="50"/>
          <w:lang w:bidi="en-U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04" w:firstLineChars="200"/>
        <w:jc w:val="center"/>
        <w:textAlignment w:val="auto"/>
        <w:rPr>
          <w:rFonts w:ascii="仿宋_GB2312" w:hAnsi="仿宋_GB2312" w:cs="仿宋_GB2312"/>
          <w:b/>
          <w:kern w:val="0"/>
          <w:sz w:val="50"/>
          <w:szCs w:val="50"/>
          <w:lang w:bidi="en-U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04" w:firstLineChars="200"/>
        <w:jc w:val="center"/>
        <w:textAlignment w:val="auto"/>
        <w:rPr>
          <w:rFonts w:ascii="仿宋_GB2312" w:hAnsi="仿宋_GB2312" w:cs="仿宋_GB2312"/>
          <w:b/>
          <w:kern w:val="0"/>
          <w:sz w:val="50"/>
          <w:szCs w:val="50"/>
          <w:lang w:bidi="en-U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04" w:firstLineChars="200"/>
        <w:jc w:val="center"/>
        <w:textAlignment w:val="auto"/>
        <w:rPr>
          <w:rFonts w:ascii="仿宋_GB2312" w:hAnsi="仿宋_GB2312" w:cs="仿宋_GB2312"/>
          <w:b/>
          <w:kern w:val="0"/>
          <w:sz w:val="50"/>
          <w:szCs w:val="50"/>
          <w:lang w:bidi="en-U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04" w:firstLineChars="200"/>
        <w:jc w:val="center"/>
        <w:textAlignment w:val="auto"/>
        <w:rPr>
          <w:rFonts w:ascii="仿宋_GB2312" w:hAnsi="仿宋_GB2312" w:cs="仿宋_GB2312"/>
          <w:b/>
          <w:kern w:val="0"/>
          <w:sz w:val="50"/>
          <w:szCs w:val="50"/>
          <w:lang w:bidi="en-U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 w:eastAsia="宋体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2023年新疆煤改电二期工程项目补助资金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kern w:val="0"/>
          <w:sz w:val="32"/>
          <w:szCs w:val="32"/>
        </w:rPr>
        <w:t>实施单位（公章）：</w:t>
      </w:r>
      <w:r>
        <w:rPr>
          <w:rFonts w:hint="eastAsia" w:ascii="宋体" w:hAnsi="宋体" w:eastAsia="宋体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且末县住房和城乡建设局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kern w:val="0"/>
          <w:sz w:val="32"/>
          <w:szCs w:val="32"/>
        </w:rPr>
        <w:t>主管部门（公章）：</w:t>
      </w:r>
      <w:r>
        <w:rPr>
          <w:rFonts w:hint="eastAsia" w:ascii="宋体" w:hAnsi="宋体" w:eastAsia="宋体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且末县住房和城乡建设局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000000"/>
          <w:kern w:val="0"/>
          <w:sz w:val="32"/>
          <w:szCs w:val="32"/>
        </w:rPr>
        <w:t>项目负责人（签章）：</w:t>
      </w:r>
      <w:r>
        <w:rPr>
          <w:rFonts w:hint="eastAsia" w:ascii="宋体" w:hAnsi="宋体" w:eastAsia="宋体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裴治国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宋体" w:hAnsi="宋体" w:eastAsia="宋体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color w:val="000000"/>
          <w:kern w:val="0"/>
          <w:sz w:val="32"/>
          <w:szCs w:val="32"/>
        </w:rPr>
        <w:t>填报时间：</w:t>
      </w:r>
      <w:r>
        <w:rPr>
          <w:rFonts w:hint="eastAsia" w:ascii="宋体" w:hAnsi="宋体" w:eastAsia="宋体" w:cs="仿宋_GB2312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仿宋_GB2312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仿宋_GB2312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仿宋_GB2312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仿宋_GB2312"/>
          <w:color w:val="000000"/>
          <w:kern w:val="0"/>
          <w:sz w:val="32"/>
          <w:szCs w:val="32"/>
        </w:rPr>
        <w:t>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left"/>
        <w:textAlignment w:val="auto"/>
        <w:rPr>
          <w:rFonts w:ascii="宋体" w:hAnsi="宋体" w:eastAsia="宋体" w:cs="Arial"/>
          <w:b/>
          <w:bCs/>
          <w:sz w:val="36"/>
          <w:szCs w:val="36"/>
        </w:rPr>
      </w:pPr>
      <w:r>
        <w:rPr>
          <w:rFonts w:ascii="宋体" w:hAnsi="宋体" w:eastAsia="宋体" w:cs="Arial"/>
          <w:b/>
          <w:bCs/>
          <w:sz w:val="36"/>
          <w:szCs w:val="36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ascii="Arial" w:hAnsi="Arial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  <w:lang w:val="en-US" w:eastAsia="zh-CN"/>
        </w:rPr>
        <w:t>2023年新疆煤改电二期工程项目补助资金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项目支出</w:t>
      </w:r>
      <w:r>
        <w:rPr>
          <w:rFonts w:ascii="宋体" w:hAnsi="宋体" w:eastAsia="宋体" w:cs="Arial"/>
          <w:b/>
          <w:bCs/>
          <w:sz w:val="36"/>
          <w:szCs w:val="36"/>
        </w:rPr>
        <w:t>绩效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评价报告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ascii="仿宋_GB231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ascii="仿宋_GB2312"/>
          <w:szCs w:val="30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宋体" w:hAnsi="宋体" w:eastAsia="宋体"/>
          <w:sz w:val="32"/>
          <w:szCs w:val="32"/>
        </w:rPr>
      </w:pPr>
      <w:bookmarkStart w:id="0" w:name="_Toc68703827"/>
      <w:r>
        <w:rPr>
          <w:rFonts w:hint="eastAsia" w:ascii="宋体" w:hAnsi="宋体" w:eastAsia="宋体"/>
          <w:sz w:val="32"/>
          <w:szCs w:val="32"/>
        </w:rPr>
        <w:t>一、基本情况</w:t>
      </w:r>
      <w:bookmarkEnd w:id="0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1" w:name="_Toc68703828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（一）项目概况。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u w:val="none"/>
          <w:lang w:val="en-US" w:eastAsia="zh-CN"/>
        </w:rPr>
        <w:t>组织各乡镇开展煤改电农户意愿调查，充分尊重群众意愿，梳理改造规模、户数。按照“整村推进、集中连片、保障基本、尊重民意、注重实效”原则和“地有卷、县有册、乡有账、村有表、户有档”标准，认真开展确村确户工作。根据我县前期开展《煤改电二期工程分散直热式确村确户规划统计表》和自治州下达计划，2023年优先在电网配网条件较好的琼库勒乡448户、托格拉克勒克乡1510户、巴格艾日克乡1049户等 3个乡镇共实施3007户煤改电工程，确保电网条件具备、居民可承受。居民入户工程方面，按照中央、地方、农户三方共担原则，积极争取中央财政补助资金，落实自治区补贴资金；各乡镇负责落实农户出资部分，并统一缴入财政部门指定专户。配套电网工程方面，积极向国家发展和改革委员会申请中央预算内投资补助，其余资金由国网电力有限公司筹措。县财政、审计部门要制定煤改电资金管理办法，做好资金监管和工程审计等工作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项目背景，主要内容及实施情况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（1）项目背景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随着我国经济的不断发展，电力设施建设已经足够满足人民群众的各项生活需求，电采暖作为一种安全、清洁、舒适的取暖方式，不仅可以减轻大气污染，还能够大幅度提高居民的生活质量。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）主要内容及实施情况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主要内容：</w:t>
      </w:r>
      <w:r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u w:val="none"/>
          <w:lang w:val="en-US" w:eastAsia="zh-CN"/>
        </w:rPr>
        <w:t>2023年且末县煤改电改造工程实施任务3007户，涉及琼库勒乡448户、托格拉克勒克乡1510户、巴格艾日克乡1049户。工程任务包括居民入户工程和配套电网工程，其中：居民入户工程按照每户 50平方米、10千瓦规模配置空气源、电磁电壁挂炉、碳晶电热板、高温辐射板、蓄热式电采暖等不同类型采暖设备，改造入户线及户内线路。根据我县供电能力及新增电采暖负荷，配套建设各电压等级输变电工程，主要包括且末县—若羌 750千伏输变电工程和35千伏及以下电网项目与农网巩固提升工程结合考虑。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实施情况：</w:t>
      </w:r>
      <w:r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u w:val="none"/>
          <w:lang w:val="en-US" w:eastAsia="zh-CN"/>
        </w:rPr>
        <w:t>完成3007户煤改电改造，其中琼库勒乡448户、托格拉克勒克乡1510户、巴格艾日克乡1049户。完成居民入户工程和配套电网工程，其中：居民入户工程按照每户 50平方米、10千瓦规模配置空气源、电磁电壁挂炉、碳晶电热板、高温辐射板、蓄热式电采暖等不同类型采暖设备，改造入户线及户内线路。根据我县供电能力及新增电采暖负荷，配套建设各电压等级输变电工程，主要包括且末县—若羌 750千伏输变电工程和35千伏及以下电网项目与农网巩固提升工程。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资金投入和使用情况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资金投入情况：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该项目年初预算数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万元，全年预算数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万元，实际总投入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万元，该项目资金已全部落实到位，资金来源为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中央财政补贴和自治区财政补贴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资金使用情况：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该项目年初预算数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万元，全年预算数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万元，全年执行数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万元，预算执行率为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%，用于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u w:val="none"/>
          <w:lang w:val="en-US" w:eastAsia="zh-CN"/>
        </w:rPr>
        <w:t>琼库勒乡448户、托格拉克勒克乡1510户、巴格艾日克乡1049户煤改电1298.03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2" w:name="_Toc68703829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（二）项目绩效目标</w:t>
      </w:r>
      <w:bookmarkEnd w:id="2"/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包括总体目标和阶段性目标。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总体目标：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煤改电居民入户工程户均投资不超过 3600元，2023年且末县3007户入户工程计划投资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万元，其中，申请中央财政补贴405.94万元（占入户工程总投资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万元的 37.5%），自治区财政安排405.94万元（占入户工程总投资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万元的   37.5%），农户出资 900元/户（国家补贴以外剩余资金全部自己承担），共计270万元（占入户工程总投资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万元的25%）。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阶段性目标：</w:t>
      </w:r>
      <w:r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u w:val="none"/>
          <w:lang w:val="en-US" w:eastAsia="zh-CN"/>
        </w:rPr>
        <w:t>县住建局牵头联系招标代理制定招投标方案,2023年3月1日至3月7日完成。发布招投标公告，计划2023年3月10日至4月7日完成。实施招投标，2023年4月8日至4月10日完成。签订农村煤改电项目施工合同：2023年4月18日至4月20日完成。中标单位采暖设备及人工到场前期准备工作,2023年4月21至4月30日完成。农户电采暖施工安装：2023年5月1日至10月30日完成。项目竣工验收：2023年9月1日至11月15日完成。</w:t>
      </w:r>
      <w:bookmarkStart w:id="3" w:name="_Toc687038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outlineLvl w:val="9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二、绩效评价工作开展情况</w:t>
      </w:r>
      <w:bookmarkEnd w:id="3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4" w:name="_Toc68703831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（一）绩效评价目的、对象和范围。</w:t>
      </w:r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绩效评价目的：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通过绩效评价，客观地评判项目的管理绩效，了解和掌握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2023年新疆煤改电二期工程项目补助资金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经费的具体情况，评价该项目资金安排的科学性、合理性、规范性和资金的使用成效，及时总结项目管理经验，完善项目管理办法，提高项目管理水平和资金使用效益。促使我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根据绩效评价中发现的问题，认真加以整改，及时调整和完善单位的工作计划并加强项目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</w:rPr>
        <w:t>绩效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管理，同时为项目后续资金投入、分配和管理提供决策依据。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绩效评价对象：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2023年新疆煤改电二期工程项目补助资金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绩效评价范围：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本次评价从项目决策（包括绩效目标、决策过程）、项目管理（包括项目资金、项目实施）、项目产出（包括项目产出数量、产出质量、产出时效和产出成本）项目效益四个维度进行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2023年新疆煤改电二期工程项目补助资金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评价，评价核心为资金的支出完成情况和效果。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5" w:name="_Toc68703832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（二）绩效评价原则、评价指标体系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（附表说明）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、评价方法、评价标准等。</w:t>
      </w:r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绩效评价原则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本次项目绩效评价遵循以下基本原则：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（一）科学公正。本次项目支出绩效评价运用科学合理的方法，按照规范的程序，对项目绩效进行客观、公正的反映。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（二）统筹兼顾。本次项目支出绩效评价由本单位自主实施，即“谁支出、谁自评”。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（三）激励约束。本次项目支出绩效评价结果与预算安排、政策调整、改进管理实质性挂钩，体现奖优罚劣和激励相容导向，有效要安排、低效要压减、无效要问责。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（四）公开透明。本次项目支出绩效评价结果已依法依规公开在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</w:rPr>
        <w:t>且末县人民政府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网站上，并自觉接受社会监督。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2、评价指标体系（附表说明）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  <w:t>（1）确定评价指标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  <w:t>（2）确定权重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eastAsia" w:ascii="方正仿宋_GBK" w:hAnsi="方正仿宋_GBK" w:eastAsia="方正仿宋_GBK" w:cs="方正仿宋_GBK"/>
          <w:color w:val="0000FF"/>
          <w:spacing w:val="17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17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  <w:t>（3）确定指标标准值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708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FF0000"/>
          <w:spacing w:val="1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17"/>
          <w:kern w:val="2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</w:p>
    <w:p>
      <w:pPr>
        <w:pStyle w:val="5"/>
        <w:spacing w:before="0" w:after="0" w:line="240" w:lineRule="auto"/>
        <w:jc w:val="center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2023年新疆煤改电二期工程项目补助资金项目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绩效评价指标体系</w:t>
      </w:r>
    </w:p>
    <w:tbl>
      <w:tblPr>
        <w:tblStyle w:val="13"/>
        <w:tblW w:w="985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78"/>
        <w:gridCol w:w="1875"/>
        <w:gridCol w:w="3885"/>
        <w:gridCol w:w="990"/>
        <w:gridCol w:w="8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757" w:type="dxa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指标解释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874" w:type="dxa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决策</w:t>
            </w:r>
          </w:p>
        </w:tc>
        <w:tc>
          <w:tcPr>
            <w:tcW w:w="147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项目立项　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立项依据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充分性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项目立项是否符合法律法规、相关政策、发展规划以及部门职责，用以反映和考核项目立项依据情况。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600" w:lineRule="auto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60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立项程序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规范性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项目申请、设立过程是否符合相关要求，用以反映和考核项目立项的规范情况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600" w:lineRule="auto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4" w:type="dxa"/>
            <w:shd w:val="clear" w:color="auto" w:fill="FFFFFF"/>
            <w:vAlign w:val="top"/>
          </w:tcPr>
          <w:p>
            <w:pPr>
              <w:spacing w:line="60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绩效目标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绩效目标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合理性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000000" w:fill="FFFFFF"/>
          </w:tcPr>
          <w:p>
            <w:pPr>
              <w:spacing w:line="600" w:lineRule="auto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4" w:type="dxa"/>
            <w:shd w:val="clear" w:color="000000" w:fill="FFFFFF"/>
            <w:vAlign w:val="top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明确性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000000" w:fill="FFFFFF"/>
          </w:tcPr>
          <w:p>
            <w:pPr>
              <w:spacing w:line="600" w:lineRule="auto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资金投入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预算编制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科学性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项目预算编制是否经过科学论证、有明确标准，资金额度与年度目标是否相适应，用以反映和考核项目预算编制的科学性、合理性情况。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600" w:lineRule="auto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资金分配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合理性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项目预算资金分配是否有测算依据，与补助单位或地方实际是否相适应，用以反映和考核项目预算资金分配的科学性、合理性情况。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600" w:lineRule="auto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74" w:type="dxa"/>
            <w:shd w:val="clear" w:color="auto" w:fill="FFFFFF"/>
            <w:vAlign w:val="top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7" w:type="dxa"/>
            <w:vMerge w:val="restart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过程</w:t>
            </w:r>
          </w:p>
        </w:tc>
        <w:tc>
          <w:tcPr>
            <w:tcW w:w="147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资金管理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资金到位率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实际到位资金与预算资金的比率，用以反映和考核资金落实情况对项目实施的总体保障程度。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000000" w:fill="FFFFFF"/>
          </w:tcPr>
          <w:p>
            <w:pPr>
              <w:spacing w:line="600" w:lineRule="auto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预算执行率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项目预算资金是否按照计划执行，用以反映或考核项目预算执行情况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600" w:lineRule="auto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资金管理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资金使用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合规性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000000" w:fill="FFFFFF"/>
          </w:tcPr>
          <w:p>
            <w:pPr>
              <w:spacing w:line="600" w:lineRule="auto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组织实施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管理制度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健全性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000000" w:fill="FFFFFF"/>
          </w:tcPr>
          <w:p>
            <w:pPr>
              <w:spacing w:line="600" w:lineRule="auto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制度执行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有效性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项目实施是否符合相关管理规定，用以反映和考核相关管理制度的有效执行情况。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000000" w:fill="FFFFFF"/>
          </w:tcPr>
          <w:p>
            <w:pPr>
              <w:spacing w:line="600" w:lineRule="auto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产出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产出数量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实际完成率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项目实施的实际产出数与计划产出数的比率，用以反映和考核项目产出数量目标的实现程度。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000000" w:fill="FFFFFF"/>
          </w:tcPr>
          <w:p>
            <w:pPr>
              <w:spacing w:line="600" w:lineRule="auto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74" w:type="dxa"/>
            <w:shd w:val="clear" w:color="000000" w:fill="FFFFFF"/>
            <w:vAlign w:val="top"/>
          </w:tcPr>
          <w:p>
            <w:pPr>
              <w:spacing w:line="60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产出成本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成本节约率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完成项目计划工作目标的实际节约成本与计划成本的比率，用以反映和考核项目的成本节约程度。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600" w:lineRule="auto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74" w:type="dxa"/>
            <w:shd w:val="clear" w:color="auto" w:fill="FFFFFF"/>
            <w:vAlign w:val="top"/>
          </w:tcPr>
          <w:p>
            <w:pPr>
              <w:spacing w:line="60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效益　</w:t>
            </w:r>
          </w:p>
        </w:tc>
        <w:tc>
          <w:tcPr>
            <w:tcW w:w="147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项目效益　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实施效益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项目实施所产生的效益。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600" w:lineRule="auto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4" w:type="dxa"/>
            <w:shd w:val="clear" w:color="auto" w:fill="FFFFFF"/>
            <w:vAlign w:val="top"/>
          </w:tcPr>
          <w:p>
            <w:pPr>
              <w:spacing w:line="60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满意度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社会公众或服务对象对项目实施效果的满意程度。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000000" w:fill="FFFFFF"/>
          </w:tcPr>
          <w:p>
            <w:pPr>
              <w:spacing w:line="600" w:lineRule="auto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4" w:type="dxa"/>
            <w:shd w:val="clear" w:color="000000" w:fill="FFFFFF"/>
            <w:vAlign w:val="top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10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3885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3、评价方法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财政和部门评价的方法主要包括成本效益分析法、比较法、因素分析法、最低成本法、公众评判法、标杆管理法等。根据评价对象的具体情况，可采用一种或多种方法。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（一）成本效益分析法。是指将投入与产出、效益进行关联性分析的方法。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（二）比较法。是指将实施情况与绩效目标、历史情况、不同部门和地区同类支出情况进行比较的方法。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（三）因素分析法。是指综合分析影响绩效目标实现、实施效果的内外部因素的方法。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（四）最低成本法。是指在绩效目标确定的前提下，成本最小者为优的方法。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（五）公众评判法。是指通过专家评估、公众问卷及抽样调查等方式进行评判的方法。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（六）标杆管理法。是指以国内外同行业中较高的绩效水平为标杆进行评判的方法。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（七）其他评价方法。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成本效益分析法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将投入与产出、效益进行关联性分析的方法。比较法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将实施情况与绩效目标、历史情况、不同部门和地区同类支出情况进行比较的方法。因素分析法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综合分析影响绩效目标实现、实施效果的内外部因素的方法。最低成本法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在绩效目标确定的前提下，成本最小者为优的方法。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评价标准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  <w:t>绩效评价标准通常包括计划标准、行业标准、历史标准等，用于对绩效指标完成情况进行比较、分析、评价。本次评价主要采用了</w:t>
      </w: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  <w:lang w:val="en-US" w:eastAsia="zh-CN"/>
        </w:rPr>
        <w:t>计划标准</w:t>
      </w:r>
      <w:r>
        <w:rPr>
          <w:rFonts w:hint="eastAsia" w:ascii="方正仿宋_GBK" w:hAnsi="方正仿宋_GBK" w:eastAsia="方正仿宋_GBK" w:cs="方正仿宋_GBK"/>
          <w:color w:val="000000"/>
          <w:spacing w:val="17"/>
          <w:sz w:val="32"/>
          <w:szCs w:val="32"/>
        </w:rPr>
        <w:t>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6" w:name="_Toc68703833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（三）绩效评价工作过程。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bookmarkStart w:id="7" w:name="_Toc68703834"/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三、综合评价情况及评价结论</w:t>
      </w:r>
      <w:bookmarkEnd w:id="7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bookmarkStart w:id="8" w:name="_Toc68703835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（一）综合评价情况</w:t>
      </w:r>
      <w:bookmarkEnd w:id="8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及评价结论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8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综合评价情况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8"/>
          <w:sz w:val="32"/>
          <w:szCs w:val="32"/>
          <w:lang w:val="en-US" w:eastAsia="zh-CN" w:bidi="ar-SA"/>
        </w:rPr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本项目严格按照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 w:val="32"/>
          <w:szCs w:val="32"/>
        </w:rPr>
        <w:t>科学公正、统筹兼顾、激励约束、公开透明的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绩效评价原则，采用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成本效益分析法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，坚持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计划标准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对本项目的立项、绩效目标、资金投入、资金管理、组织实施、产出数量、产出质量、产出时效、产出成本、项目效益进行了综合评价。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9" w:name="_Toc68703836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评价结论</w:t>
      </w:r>
      <w:bookmarkEnd w:id="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运用绩效评价组制定的评价指标体系以及财政部《项目支出绩效评价管理办法》（财预〔2020〕10号）文件的评分标准，通过数据采集、问卷调查及访谈等方式，对本项目进行客观评价，最终评分结果：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  <w:t>总得分为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  <w:t xml:space="preserve">分，属于“优”。其中，项目决策类指标权重为20分，得分为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  <w:t>分，得分率为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  <w:t>%。项目过程类指标权重为20分，得分为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  <w:t>分，得分率为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  <w:t>%。项目产出类指标权重为40分，得分为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  <w:t>分，得分率为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  <w:t>%。项目效益类指标权重为20分，得分为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  <w:t>分，得分率为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</w:rPr>
        <w:t>%。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相关评分表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具体打分情况详见：附件1综合评分表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2023年新疆煤改电二期工程项目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项目评价得分情况</w:t>
      </w:r>
    </w:p>
    <w:tbl>
      <w:tblPr>
        <w:tblStyle w:val="13"/>
        <w:tblW w:w="75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2168"/>
        <w:gridCol w:w="2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EBEBE" w:themeFill="background1" w:themeFillShade="B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center"/>
              <w:textAlignment w:val="auto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一级指标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EBEBE" w:themeFill="background1" w:themeFillShade="B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center"/>
              <w:textAlignment w:val="auto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权重分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EBEBE" w:themeFill="background1" w:themeFillShade="B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center"/>
              <w:textAlignment w:val="auto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项目决策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hint="default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hint="default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项目过程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hint="default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hint="default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项目产出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hint="default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hint="default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项目效益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hint="default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hint="default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center"/>
              <w:textAlignment w:val="auto"/>
              <w:rPr>
                <w:rFonts w:cs="宋体"/>
                <w:b/>
                <w:bCs/>
                <w:color w:val="00000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center"/>
              <w:textAlignment w:val="auto"/>
              <w:rPr>
                <w:rFonts w:hint="default" w:eastAsia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center"/>
              <w:textAlignment w:val="auto"/>
              <w:rPr>
                <w:rFonts w:hint="default" w:eastAsia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100</w:t>
            </w:r>
          </w:p>
        </w:tc>
      </w:tr>
    </w:tbl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宋体" w:hAnsi="宋体" w:eastAsia="宋体"/>
          <w:sz w:val="32"/>
          <w:szCs w:val="32"/>
        </w:rPr>
      </w:pPr>
      <w:bookmarkStart w:id="10" w:name="_Toc68703837"/>
      <w:r>
        <w:rPr>
          <w:rFonts w:hint="eastAsia" w:ascii="宋体" w:hAnsi="宋体" w:eastAsia="宋体"/>
          <w:sz w:val="32"/>
          <w:szCs w:val="32"/>
        </w:rPr>
        <w:t>四、绩效评价指标分析</w:t>
      </w:r>
      <w:bookmarkEnd w:id="10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11" w:name="_Toc68703838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（一）项目决策情况。</w:t>
      </w:r>
      <w:bookmarkEnd w:id="1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立项依据充分性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</w:rPr>
        <w:t>项目立项依据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u w:val="none"/>
          <w:shd w:val="clear" w:color="auto" w:fill="auto"/>
          <w:lang w:val="en-US" w:eastAsia="zh-CN"/>
        </w:rPr>
        <w:t>《关于印发自治州煤改电工程实施方案（2022—2024年）的通知》（巴政办发〔2022〕18号）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此项权重分3分，得分3分。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立项程序规范性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</w:rPr>
        <w:t>项目申请、设立过程符合相关要求，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Hans"/>
        </w:rPr>
        <w:t>严格按照审批流程准备符合要求的文件、材料；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</w:rPr>
        <w:t>根据决算依据编制工作计划和经费预算，经过与部门项目分管领导沟通、筛选确定经费预算计划，确定最终预算方案。项目的审批文件、材料符合相关要求，项目事前经过必要的可行性研究、专家论证、风险评估、绩效评估、集体决策，保障了程序的规范性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此项权重分3分，得分3分。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绩效目标合理性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u w:val="none"/>
          <w:lang w:val="en-US" w:eastAsia="zh-CN"/>
        </w:rPr>
        <w:t>2023年新疆煤改电二期工程项目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设立了项目绩效目标，与</w:t>
      </w:r>
      <w:r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u w:val="none"/>
          <w:lang w:val="en-US" w:eastAsia="zh-CN"/>
        </w:rPr>
        <w:t>涉及琼库勒乡448户、托格拉克勒克乡1510户、巴格艾日克乡1049户，工程任务包括居民入户工程和配套电网工程，其中：居民入户工程按照每户 50平方米、10千瓦规模配置空气源、电磁电壁挂炉、碳晶电热板、高温辐射板、蓄热式电采暖等不同类型采暖设备，改造入户线及户内线路，配套建设各电压等级输变电工程，主要包括且末县—若羌 750千伏输变电工程和35千伏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具有相关性，项目的预期产出效益和效果也均能符合正常的业绩水平，并且与预算确定的项目投资额或资金量相匹配。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此项权重分3分，得分3分。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绩效指标明确性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bookmarkStart w:id="12" w:name="_Hlk68699917"/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u w:val="none"/>
          <w:lang w:val="en-US" w:eastAsia="zh-CN"/>
        </w:rPr>
        <w:t>2023年新疆煤改电二期工程项目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将项目绩效目标细化分解为具体的绩效指标，一级指标共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条，二级指标共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条，三级指标共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条，其中量化指标条数共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条，所有绩效指标均通过清晰、可衡量的指标值予以体现，并且做到了与项目目标任务数或计划数相对应。</w:t>
      </w:r>
      <w:bookmarkEnd w:id="12"/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此项权重分3分，得分3分。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预算编制科学性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预算编制经过科学论证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预算内容与项目内容匹配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预算额度测算依据充分，按照标准编制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预算确定的项目投资额或资金量与工作任务相匹配。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此项权重分3分，得分3分。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资金分配合理性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预算资金分配依据充分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资金分配额度合理，与项目单位实际相适应。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此项权重分5分，得分5分。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13" w:name="_Toc68703839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（二）项目过程情况。</w:t>
      </w:r>
      <w:bookmarkEnd w:id="1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资金到位率：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预算资金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万元，实际到位资金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万元，资金到位率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%。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此项权重分4分，得分4分。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预算执行率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全年预算数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万元，全年执行数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万元，预算执行率为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此项权重分4分，得分4分。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资金使用合规性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此项权重分4分，得分4分。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管理制度健全性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此项权重分4分，得分4分。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制度执行有效性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遵守相关法律法规和相关管理规定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项目调整及支出调整手续完备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项目合同书、验收报告、技术鉴定等资料齐全并及时归档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项目实施的人员条件、场地设备、信息支撑等落实到位。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此项权重分4分，得分4分。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bookmarkStart w:id="14" w:name="_Toc6870384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项目产出情况。</w:t>
      </w:r>
      <w:bookmarkEnd w:id="14"/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数量指标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完成情况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：指标：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享受户数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，指标值：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3007户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，实际完成值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3007户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，指标完成率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此项权重分20分，得分20分。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  <w:t>经济成本指标完成情况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指标：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项目预算经费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，指标值：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12890元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，实际完成值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12890元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，指标完成率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此项权重分10分，得分10分。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  <w:t>生态成本指标完成情况：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指标：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减少排放量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，指标值：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8000立方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，实际完成值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8000立方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，指标完成率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此项权重分10分，得分10分。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bookmarkStart w:id="15" w:name="_Toc68703841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）项目效益情况。</w:t>
      </w:r>
      <w:bookmarkEnd w:id="15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</w:rPr>
        <w:t>经济效益指标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</w:rPr>
        <w:t>完成情况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指标：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减少农户购买煤的支出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，指标值：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2400元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，实际完成值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2400元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，指标完成率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此项权重分10分，得分10分。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</w:rPr>
        <w:t>满意度指标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</w:rPr>
        <w:t>完成情况分析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指标：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群众满意度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，指标值：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90%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，实际完成值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90%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，指标完成率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。</w:t>
      </w:r>
    </w:p>
    <w:p>
      <w:pPr>
        <w:pStyle w:val="12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此项权重分10分，得分10分。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eastAsia="zh-Hans"/>
        </w:rPr>
      </w:pPr>
      <w:bookmarkStart w:id="16" w:name="_Toc68703842"/>
      <w:r>
        <w:rPr>
          <w:rFonts w:hint="eastAsia" w:ascii="新宋体" w:hAnsi="新宋体" w:eastAsia="新宋体" w:cs="新宋体"/>
          <w:b/>
          <w:bCs/>
          <w:sz w:val="32"/>
          <w:szCs w:val="32"/>
          <w:lang w:eastAsia="zh-Hans"/>
        </w:rPr>
        <w:t>五、预算执行进度与绩效指标总体完成率偏差</w:t>
      </w:r>
    </w:p>
    <w:p>
      <w:pPr>
        <w:pStyle w:val="2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2023年新疆煤改电二期工程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项目年初预算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万元，全年预算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万元，实际支出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1298.03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</w:rPr>
        <w:t>预算执行率为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</w:rPr>
        <w:t>%，项目绩效指标总体完成率为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Hans"/>
        </w:rPr>
        <w:t>总体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偏差率为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%,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Hans"/>
        </w:rPr>
        <w:t>偏差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原因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Hans"/>
        </w:rPr>
        <w:t>改进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措施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/>
          <w:sz w:val="32"/>
          <w:szCs w:val="32"/>
        </w:rPr>
        <w:t>、主要经验及做法、存在的问题及原因分析</w:t>
      </w:r>
      <w:bookmarkEnd w:id="16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17" w:name="_Toc68703843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（一）主要经验及做法</w:t>
      </w:r>
      <w:bookmarkEnd w:id="17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bookmarkStart w:id="18" w:name="_Toc68703844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煤改电具有节能环保、温度可调节等优点，能够满足人们对舒适取暖的需求。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（二）存在的问题及原因分析</w:t>
      </w:r>
      <w:bookmarkEnd w:id="1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19" w:name="_Toc68703845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煤改电入户工程在我县刚开始试行，暂时未发现问题。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/>
          <w:b/>
          <w:bCs/>
          <w:sz w:val="32"/>
          <w:szCs w:val="32"/>
        </w:rPr>
        <w:t>、有关建议</w:t>
      </w:r>
      <w:bookmarkEnd w:id="19"/>
    </w:p>
    <w:p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  <w:t>1.多进行有关绩效管理工作方面的培训。积极组织第三方开展绩效管理工作培训，进一步夯实业务基础，提高我单位绩效人员水平。</w:t>
      </w:r>
    </w:p>
    <w:p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  <w:t>2.专门设定对绩效工作人员定职、定岗、定责等相关制度措施，进一步提升我单位绩效管理工作业务水平，扎实做好绩效管理工作。</w:t>
      </w:r>
    </w:p>
    <w:p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根据自己项目的特点进行总结。</w:t>
      </w:r>
    </w:p>
    <w:p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。</w:t>
      </w:r>
    </w:p>
    <w:p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</w:rPr>
        <w:t>5.进一步加强对绩效管理工作的组织领导，提高对预算绩效管理工作重要性的认识，总结经验查找问题，抓紧研究制定更全面更完善的绩效评价管理办法。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宋体" w:hAnsi="宋体" w:eastAsia="宋体"/>
          <w:sz w:val="32"/>
          <w:szCs w:val="32"/>
        </w:rPr>
      </w:pPr>
      <w:bookmarkStart w:id="20" w:name="_Toc68703846"/>
      <w:r>
        <w:rPr>
          <w:rFonts w:hint="eastAsia" w:ascii="宋体" w:hAnsi="宋体" w:eastAsia="宋体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/>
          <w:sz w:val="32"/>
          <w:szCs w:val="32"/>
        </w:rPr>
        <w:t>、其他需要说明的问题</w:t>
      </w:r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eastAsia="仿宋_GB2312"/>
          <w:color w:val="000000" w:themeColor="text1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>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</w:pPr>
    </w:p>
    <w:sectPr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红豆小标宋简体">
    <w:altName w:val="宋体"/>
    <w:panose1 w:val="02000509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0D1E6F"/>
    <w:multiLevelType w:val="singleLevel"/>
    <w:tmpl w:val="D10D1E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OTIwZjc5YmU2ZTY5MjQ2MTljMmZlZWEzNGY0OTAifQ=="/>
    <w:docVar w:name="KSO_WPS_MARK_KEY" w:val="b3fc2acd-51a9-45ce-8d80-18e6d2738da8"/>
  </w:docVars>
  <w:rsids>
    <w:rsidRoot w:val="007D49C5"/>
    <w:rsid w:val="000D63FA"/>
    <w:rsid w:val="005B64E8"/>
    <w:rsid w:val="00614288"/>
    <w:rsid w:val="00792CFE"/>
    <w:rsid w:val="007D49C5"/>
    <w:rsid w:val="008175E0"/>
    <w:rsid w:val="008C631D"/>
    <w:rsid w:val="00A114ED"/>
    <w:rsid w:val="00B24331"/>
    <w:rsid w:val="00EB3433"/>
    <w:rsid w:val="017F168A"/>
    <w:rsid w:val="031A7868"/>
    <w:rsid w:val="05227DA5"/>
    <w:rsid w:val="08D20D13"/>
    <w:rsid w:val="093E0746"/>
    <w:rsid w:val="094F2003"/>
    <w:rsid w:val="0C4D0F1B"/>
    <w:rsid w:val="0D801CBF"/>
    <w:rsid w:val="0F2A6BF7"/>
    <w:rsid w:val="130427F1"/>
    <w:rsid w:val="133B2DD5"/>
    <w:rsid w:val="17B82BD2"/>
    <w:rsid w:val="1D723F37"/>
    <w:rsid w:val="1D785367"/>
    <w:rsid w:val="20E61451"/>
    <w:rsid w:val="23C568F7"/>
    <w:rsid w:val="25CD5C5E"/>
    <w:rsid w:val="2C6774B8"/>
    <w:rsid w:val="2F070E87"/>
    <w:rsid w:val="32AE0DEC"/>
    <w:rsid w:val="33095AD1"/>
    <w:rsid w:val="36B72533"/>
    <w:rsid w:val="3EF94B53"/>
    <w:rsid w:val="4057649F"/>
    <w:rsid w:val="41C66252"/>
    <w:rsid w:val="43182414"/>
    <w:rsid w:val="433D6F6D"/>
    <w:rsid w:val="446A7011"/>
    <w:rsid w:val="44961E71"/>
    <w:rsid w:val="45E57D30"/>
    <w:rsid w:val="46507BB3"/>
    <w:rsid w:val="46BD70A3"/>
    <w:rsid w:val="47DC2E9C"/>
    <w:rsid w:val="48557DA9"/>
    <w:rsid w:val="490B573A"/>
    <w:rsid w:val="49C8686D"/>
    <w:rsid w:val="4A7C25BE"/>
    <w:rsid w:val="4BF05D98"/>
    <w:rsid w:val="4C22332E"/>
    <w:rsid w:val="522F3271"/>
    <w:rsid w:val="53A52B59"/>
    <w:rsid w:val="56796849"/>
    <w:rsid w:val="575669D3"/>
    <w:rsid w:val="59CE0AE6"/>
    <w:rsid w:val="5A316123"/>
    <w:rsid w:val="5A3A5A84"/>
    <w:rsid w:val="5DA95371"/>
    <w:rsid w:val="5EEF6229"/>
    <w:rsid w:val="642D6CF1"/>
    <w:rsid w:val="66C328C3"/>
    <w:rsid w:val="68F11999"/>
    <w:rsid w:val="6A7C0198"/>
    <w:rsid w:val="73E6318B"/>
    <w:rsid w:val="756959C6"/>
    <w:rsid w:val="763A0251"/>
    <w:rsid w:val="7982536F"/>
    <w:rsid w:val="7B530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line="520" w:lineRule="exact"/>
      <w:ind w:firstLine="643" w:firstLineChars="200"/>
      <w:outlineLvl w:val="2"/>
    </w:pPr>
    <w:rPr>
      <w:rFonts w:eastAsia="仿宋" w:asciiTheme="minorAscii" w:hAnsiTheme="minorAsci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 w:val="3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itle"/>
    <w:basedOn w:val="1"/>
    <w:next w:val="1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</w:rPr>
  </w:style>
  <w:style w:type="character" w:customStyle="1" w:styleId="16">
    <w:name w:val="标题 1 Char"/>
    <w:basedOn w:val="14"/>
    <w:link w:val="4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9">
    <w:name w:val="页眉 Char"/>
    <w:basedOn w:val="14"/>
    <w:link w:val="9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21">
    <w:name w:val="闻政-正文段落文字"/>
    <w:basedOn w:val="1"/>
    <w:qFormat/>
    <w:uiPriority w:val="3"/>
    <w:pPr>
      <w:spacing w:line="500" w:lineRule="exact"/>
      <w:ind w:firstLine="200"/>
    </w:pPr>
    <w:rPr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5042</Words>
  <Characters>5242</Characters>
  <Lines>37</Lines>
  <Paragraphs>10</Paragraphs>
  <TotalTime>4</TotalTime>
  <ScaleCrop>false</ScaleCrop>
  <LinksUpToDate>false</LinksUpToDate>
  <CharactersWithSpaces>5253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2021-04-07T08:01:00Z</dcterms:created>
  <dc:creator>翘楚</dc:creator>
  <cp:lastModifiedBy>Administrator</cp:lastModifiedBy>
  <dcterms:modified xsi:type="dcterms:W3CDTF">2015-01-17T00:59:31Z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DFF0787588C34603A74FA104BC3FC087</vt:lpwstr>
  </property>
</Properties>
</file>