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pPr>
        <w:pageBreakBefore w:val="0"/>
        <w:kinsoku/>
        <w:wordWrap/>
        <w:overflowPunct/>
        <w:topLinePunct w:val="0"/>
        <w:autoSpaceDE/>
        <w:autoSpaceDN/>
        <w:bidi w:val="0"/>
        <w:adjustRightInd/>
        <w:snapToGrid/>
        <w:spacing w:line="560" w:lineRule="exact"/>
        <w:ind w:left="1041" w:leftChars="173" w:hanging="522" w:hangingChars="100"/>
        <w:jc w:val="both"/>
        <w:textAlignment w:val="auto"/>
        <w:rPr>
          <w:rFonts w:ascii="宋体" w:hAnsi="宋体" w:eastAsia="宋体" w:cs="Arial"/>
          <w:b/>
          <w:bCs/>
          <w:sz w:val="52"/>
          <w:szCs w:val="52"/>
        </w:rPr>
      </w:pPr>
      <w:r>
        <w:rPr>
          <w:rFonts w:hint="eastAsia" w:ascii="宋体" w:hAnsi="宋体" w:eastAsia="宋体" w:cs="Arial"/>
          <w:b/>
          <w:bCs/>
          <w:sz w:val="52"/>
          <w:szCs w:val="52"/>
        </w:rPr>
        <w:t>2023年</w:t>
      </w:r>
      <w:r>
        <w:rPr>
          <w:rFonts w:hint="eastAsia" w:ascii="宋体" w:hAnsi="宋体" w:eastAsia="宋体" w:cs="Arial"/>
          <w:b/>
          <w:bCs/>
          <w:sz w:val="52"/>
          <w:szCs w:val="52"/>
          <w:lang w:val="en-US" w:eastAsia="zh-CN"/>
        </w:rPr>
        <w:t>中央农业产业发展资金（畜牧业方面）</w:t>
      </w:r>
      <w:r>
        <w:rPr>
          <w:rFonts w:hint="eastAsia" w:ascii="宋体" w:hAnsi="宋体" w:eastAsia="宋体" w:cs="Arial"/>
          <w:b/>
          <w:bCs/>
          <w:sz w:val="52"/>
          <w:szCs w:val="52"/>
        </w:rPr>
        <w:t>项目支出绩效评价报告</w:t>
      </w:r>
    </w:p>
    <w:p>
      <w:pPr>
        <w:pageBreakBefore w:val="0"/>
        <w:kinsoku/>
        <w:wordWrap/>
        <w:overflowPunct/>
        <w:topLinePunct w:val="0"/>
        <w:autoSpaceDE/>
        <w:autoSpaceDN/>
        <w:bidi w:val="0"/>
        <w:adjustRightInd/>
        <w:snapToGrid/>
        <w:spacing w:line="560" w:lineRule="exact"/>
        <w:ind w:firstLine="964" w:firstLineChars="200"/>
        <w:jc w:val="center"/>
        <w:textAlignment w:val="auto"/>
        <w:rPr>
          <w:rFonts w:ascii="宋体" w:hAnsi="宋体" w:eastAsia="宋体" w:cs="Arial"/>
          <w:b/>
          <w:bCs/>
          <w:sz w:val="48"/>
          <w:szCs w:val="48"/>
        </w:rPr>
      </w:pPr>
    </w:p>
    <w:p>
      <w:pPr>
        <w:pageBreakBefore w:val="0"/>
        <w:widowControl/>
        <w:kinsoku/>
        <w:wordWrap/>
        <w:overflowPunct/>
        <w:topLinePunct w:val="0"/>
        <w:autoSpaceDE/>
        <w:autoSpaceDN/>
        <w:bidi w:val="0"/>
        <w:adjustRightInd/>
        <w:snapToGrid/>
        <w:spacing w:line="560" w:lineRule="exact"/>
        <w:ind w:firstLine="3240" w:firstLineChars="900"/>
        <w:jc w:val="both"/>
        <w:textAlignment w:val="auto"/>
        <w:rPr>
          <w:rFonts w:ascii="仿宋_GB2312" w:hAnsi="仿宋_GB2312" w:cs="仿宋_GB2312"/>
          <w:b/>
          <w:kern w:val="0"/>
          <w:sz w:val="50"/>
          <w:szCs w:val="50"/>
          <w:lang w:bidi="en-US"/>
        </w:rPr>
      </w:pPr>
      <w:r>
        <w:rPr>
          <w:rFonts w:hint="eastAsia" w:ascii="红豆小标宋简体" w:hAnsi="红豆小标宋简体" w:eastAsia="红豆小标宋简体" w:cs="红豆小标宋简体"/>
          <w:color w:val="000000"/>
          <w:kern w:val="0"/>
          <w:sz w:val="36"/>
          <w:szCs w:val="36"/>
        </w:rPr>
        <w:t>（2</w:t>
      </w:r>
      <w:r>
        <w:rPr>
          <w:rFonts w:ascii="红豆小标宋简体" w:hAnsi="红豆小标宋简体" w:eastAsia="红豆小标宋简体" w:cs="红豆小标宋简体"/>
          <w:color w:val="000000"/>
          <w:kern w:val="0"/>
          <w:sz w:val="36"/>
          <w:szCs w:val="36"/>
        </w:rPr>
        <w:t>02</w:t>
      </w:r>
      <w:r>
        <w:rPr>
          <w:rFonts w:hint="eastAsia" w:ascii="红豆小标宋简体" w:hAnsi="红豆小标宋简体" w:eastAsia="红豆小标宋简体" w:cs="红豆小标宋简体"/>
          <w:color w:val="000000"/>
          <w:kern w:val="0"/>
          <w:sz w:val="36"/>
          <w:szCs w:val="36"/>
          <w:lang w:val="en-US" w:eastAsia="zh-CN"/>
        </w:rPr>
        <w:t>3</w:t>
      </w:r>
      <w:r>
        <w:rPr>
          <w:rFonts w:hint="eastAsia" w:ascii="红豆小标宋简体" w:hAnsi="红豆小标宋简体" w:eastAsia="红豆小标宋简体" w:cs="红豆小标宋简体"/>
          <w:color w:val="000000"/>
          <w:kern w:val="0"/>
          <w:sz w:val="36"/>
          <w:szCs w:val="36"/>
        </w:rPr>
        <w:t>年度）</w:t>
      </w: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1004" w:firstLineChars="200"/>
        <w:jc w:val="center"/>
        <w:textAlignment w:val="auto"/>
        <w:rPr>
          <w:rFonts w:ascii="仿宋_GB2312" w:hAnsi="仿宋_GB2312" w:cs="仿宋_GB2312"/>
          <w:b/>
          <w:kern w:val="0"/>
          <w:sz w:val="50"/>
          <w:szCs w:val="50"/>
          <w:lang w:bidi="en-US"/>
        </w:rPr>
      </w:pPr>
    </w:p>
    <w:p>
      <w:pPr>
        <w:pStyle w:val="2"/>
        <w:rPr>
          <w:rFonts w:ascii="仿宋_GB2312" w:hAnsi="仿宋_GB2312" w:cs="仿宋_GB2312"/>
          <w:b/>
          <w:kern w:val="0"/>
          <w:sz w:val="50"/>
          <w:szCs w:val="50"/>
          <w:lang w:bidi="en-US"/>
        </w:rPr>
      </w:pPr>
    </w:p>
    <w:p>
      <w:pPr>
        <w:pStyle w:val="2"/>
        <w:rPr>
          <w:rFonts w:ascii="仿宋_GB2312" w:hAnsi="仿宋_GB2312" w:cs="仿宋_GB2312"/>
          <w:b/>
          <w:kern w:val="0"/>
          <w:sz w:val="50"/>
          <w:szCs w:val="50"/>
          <w:lang w:bidi="en-US"/>
        </w:rPr>
      </w:pPr>
    </w:p>
    <w:p>
      <w:pPr>
        <w:pStyle w:val="2"/>
        <w:rPr>
          <w:rFonts w:ascii="仿宋_GB2312" w:hAnsi="仿宋_GB2312" w:cs="仿宋_GB2312"/>
          <w:b/>
          <w:kern w:val="0"/>
          <w:sz w:val="50"/>
          <w:szCs w:val="50"/>
          <w:lang w:bidi="en-US"/>
        </w:rPr>
      </w:pPr>
    </w:p>
    <w:p>
      <w:pPr>
        <w:pStyle w:val="2"/>
        <w:rPr>
          <w:rFonts w:ascii="仿宋_GB2312" w:hAnsi="仿宋_GB2312" w:cs="仿宋_GB2312"/>
          <w:b/>
          <w:kern w:val="0"/>
          <w:sz w:val="50"/>
          <w:szCs w:val="50"/>
          <w:lang w:bidi="en-US"/>
        </w:rPr>
      </w:pPr>
    </w:p>
    <w:p>
      <w:pPr>
        <w:pStyle w:val="2"/>
        <w:rPr>
          <w:rFonts w:ascii="仿宋_GB2312" w:hAnsi="仿宋_GB2312" w:cs="仿宋_GB2312"/>
          <w:b/>
          <w:kern w:val="0"/>
          <w:sz w:val="50"/>
          <w:szCs w:val="50"/>
          <w:lang w:bidi="en-US"/>
        </w:rPr>
      </w:pPr>
    </w:p>
    <w:p>
      <w:pPr>
        <w:pStyle w:val="2"/>
        <w:rPr>
          <w:rFonts w:ascii="仿宋_GB2312" w:hAnsi="仿宋_GB2312" w:cs="仿宋_GB2312"/>
          <w:b/>
          <w:kern w:val="0"/>
          <w:sz w:val="50"/>
          <w:szCs w:val="50"/>
          <w:lang w:bidi="en-US"/>
        </w:rPr>
      </w:pPr>
    </w:p>
    <w:p>
      <w:pPr>
        <w:pStyle w:val="2"/>
        <w:rPr>
          <w:rFonts w:ascii="仿宋_GB2312" w:hAnsi="仿宋_GB2312" w:cs="仿宋_GB2312"/>
          <w:b/>
          <w:kern w:val="0"/>
          <w:sz w:val="50"/>
          <w:szCs w:val="50"/>
          <w:lang w:bidi="en-US"/>
        </w:rPr>
      </w:pP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宋体"/>
          <w:kern w:val="0"/>
          <w:sz w:val="32"/>
          <w:szCs w:val="32"/>
          <w:lang w:val="en-US" w:eastAsia="zh-CN"/>
        </w:rPr>
      </w:pPr>
      <w:r>
        <w:rPr>
          <w:rFonts w:hint="eastAsia" w:ascii="宋体" w:hAnsi="宋体" w:eastAsia="宋体" w:cs="仿宋_GB2312"/>
          <w:b/>
          <w:bCs/>
          <w:color w:val="000000"/>
          <w:kern w:val="0"/>
          <w:sz w:val="32"/>
          <w:szCs w:val="32"/>
        </w:rPr>
        <w:t>项目名称：</w:t>
      </w:r>
      <w:bookmarkStart w:id="20" w:name="_GoBack"/>
      <w:r>
        <w:rPr>
          <w:rFonts w:hint="eastAsia" w:ascii="宋体" w:hAnsi="宋体" w:eastAsia="宋体" w:cs="仿宋_GB2312"/>
          <w:b w:val="0"/>
          <w:bCs w:val="0"/>
          <w:color w:val="000000"/>
          <w:kern w:val="0"/>
          <w:sz w:val="32"/>
          <w:szCs w:val="32"/>
        </w:rPr>
        <w:t>2023年</w:t>
      </w:r>
      <w:r>
        <w:rPr>
          <w:rFonts w:hint="eastAsia" w:ascii="宋体" w:hAnsi="宋体" w:eastAsia="宋体" w:cs="仿宋_GB2312"/>
          <w:b w:val="0"/>
          <w:bCs w:val="0"/>
          <w:color w:val="000000"/>
          <w:kern w:val="0"/>
          <w:sz w:val="32"/>
          <w:szCs w:val="32"/>
          <w:lang w:val="en-US" w:eastAsia="zh-CN"/>
        </w:rPr>
        <w:t>中央农业产业发展资金（畜牧业方面）</w:t>
      </w:r>
      <w:bookmarkEnd w:id="20"/>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仿宋_GB2312"/>
          <w:b w:val="0"/>
          <w:bCs w:val="0"/>
          <w:color w:val="000000"/>
          <w:kern w:val="0"/>
          <w:sz w:val="32"/>
          <w:szCs w:val="32"/>
          <w:lang w:val="en-US" w:eastAsia="zh-CN"/>
        </w:rPr>
      </w:pPr>
      <w:r>
        <w:rPr>
          <w:rFonts w:hint="eastAsia" w:ascii="宋体" w:hAnsi="宋体" w:eastAsia="宋体" w:cs="仿宋_GB2312"/>
          <w:b/>
          <w:bCs/>
          <w:color w:val="000000"/>
          <w:kern w:val="0"/>
          <w:sz w:val="32"/>
          <w:szCs w:val="32"/>
        </w:rPr>
        <w:t>实施单位（公章）：</w:t>
      </w:r>
      <w:r>
        <w:rPr>
          <w:rFonts w:hint="eastAsia" w:ascii="宋体" w:hAnsi="宋体" w:eastAsia="宋体" w:cs="仿宋_GB2312"/>
          <w:b w:val="0"/>
          <w:bCs w:val="0"/>
          <w:color w:val="000000"/>
          <w:kern w:val="0"/>
          <w:sz w:val="32"/>
          <w:szCs w:val="32"/>
          <w:lang w:val="en-US" w:eastAsia="zh-CN"/>
        </w:rPr>
        <w:t>且末县昆仑牧业、10个乡镇</w:t>
      </w:r>
    </w:p>
    <w:p>
      <w:pPr>
        <w:pageBreakBefore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仿宋_GB2312"/>
          <w:b w:val="0"/>
          <w:bCs w:val="0"/>
          <w:color w:val="000000"/>
          <w:kern w:val="0"/>
          <w:sz w:val="32"/>
          <w:szCs w:val="32"/>
          <w:lang w:val="en-US" w:eastAsia="zh-CN"/>
        </w:rPr>
      </w:pPr>
      <w:r>
        <w:rPr>
          <w:rFonts w:hint="eastAsia" w:ascii="宋体" w:hAnsi="宋体" w:eastAsia="宋体" w:cs="仿宋_GB2312"/>
          <w:b/>
          <w:bCs/>
          <w:color w:val="000000"/>
          <w:kern w:val="0"/>
          <w:sz w:val="32"/>
          <w:szCs w:val="32"/>
        </w:rPr>
        <w:t>主管部门（公章）：</w:t>
      </w:r>
      <w:r>
        <w:rPr>
          <w:rFonts w:hint="eastAsia" w:ascii="宋体" w:hAnsi="宋体" w:eastAsia="宋体" w:cs="仿宋_GB2312"/>
          <w:b w:val="0"/>
          <w:bCs w:val="0"/>
          <w:color w:val="000000"/>
          <w:kern w:val="0"/>
          <w:sz w:val="32"/>
          <w:szCs w:val="32"/>
          <w:lang w:val="en-US" w:eastAsia="zh-CN"/>
        </w:rPr>
        <w:t>且末县畜牧兽医局</w:t>
      </w:r>
    </w:p>
    <w:p>
      <w:pPr>
        <w:pageBreakBefore w:val="0"/>
        <w:kinsoku/>
        <w:wordWrap/>
        <w:overflowPunct/>
        <w:topLinePunct w:val="0"/>
        <w:autoSpaceDE/>
        <w:autoSpaceDN/>
        <w:bidi w:val="0"/>
        <w:adjustRightInd/>
        <w:snapToGrid/>
        <w:spacing w:line="560" w:lineRule="exact"/>
        <w:ind w:firstLine="643" w:firstLineChars="200"/>
        <w:textAlignment w:val="auto"/>
        <w:rPr>
          <w:rFonts w:hint="default" w:ascii="宋体" w:hAnsi="宋体" w:eastAsia="宋体" w:cs="仿宋_GB2312"/>
          <w:b w:val="0"/>
          <w:bCs w:val="0"/>
          <w:color w:val="000000"/>
          <w:kern w:val="0"/>
          <w:sz w:val="32"/>
          <w:szCs w:val="32"/>
          <w:lang w:val="en-US" w:eastAsia="zh-CN"/>
        </w:rPr>
      </w:pPr>
      <w:r>
        <w:rPr>
          <w:rFonts w:hint="eastAsia" w:ascii="宋体" w:hAnsi="宋体" w:eastAsia="宋体" w:cs="仿宋_GB2312"/>
          <w:b/>
          <w:bCs/>
          <w:color w:val="000000"/>
          <w:kern w:val="0"/>
          <w:sz w:val="32"/>
          <w:szCs w:val="32"/>
        </w:rPr>
        <w:t>项目负责人（签章）：</w:t>
      </w:r>
      <w:r>
        <w:rPr>
          <w:rFonts w:hint="eastAsia" w:ascii="宋体" w:hAnsi="宋体" w:eastAsia="宋体" w:cs="仿宋_GB2312"/>
          <w:b w:val="0"/>
          <w:bCs w:val="0"/>
          <w:color w:val="000000"/>
          <w:kern w:val="0"/>
          <w:sz w:val="32"/>
          <w:szCs w:val="32"/>
          <w:lang w:val="en-US" w:eastAsia="zh-CN"/>
        </w:rPr>
        <w:t>买买江·托乎提</w:t>
      </w:r>
    </w:p>
    <w:p>
      <w:pPr>
        <w:pageBreakBefore w:val="0"/>
        <w:kinsoku/>
        <w:wordWrap/>
        <w:overflowPunct/>
        <w:topLinePunct w:val="0"/>
        <w:autoSpaceDE/>
        <w:autoSpaceDN/>
        <w:bidi w:val="0"/>
        <w:adjustRightInd/>
        <w:snapToGrid/>
        <w:spacing w:line="560" w:lineRule="exact"/>
        <w:ind w:firstLine="643" w:firstLineChars="200"/>
        <w:textAlignment w:val="auto"/>
        <w:rPr>
          <w:rFonts w:ascii="宋体" w:hAnsi="宋体" w:eastAsia="宋体" w:cs="仿宋_GB2312"/>
          <w:color w:val="000000"/>
          <w:kern w:val="0"/>
          <w:sz w:val="32"/>
          <w:szCs w:val="32"/>
        </w:rPr>
      </w:pPr>
      <w:r>
        <w:rPr>
          <w:rFonts w:hint="eastAsia" w:ascii="宋体" w:hAnsi="宋体" w:eastAsia="宋体" w:cs="仿宋_GB2312"/>
          <w:b/>
          <w:bCs/>
          <w:color w:val="000000"/>
          <w:kern w:val="0"/>
          <w:sz w:val="32"/>
          <w:szCs w:val="32"/>
        </w:rPr>
        <w:t>填报时间：</w:t>
      </w:r>
      <w:r>
        <w:rPr>
          <w:rFonts w:hint="eastAsia" w:ascii="宋体" w:hAnsi="宋体" w:eastAsia="宋体" w:cs="仿宋_GB2312"/>
          <w:color w:val="000000"/>
          <w:kern w:val="0"/>
          <w:sz w:val="32"/>
          <w:szCs w:val="32"/>
        </w:rPr>
        <w:t>202</w:t>
      </w:r>
      <w:r>
        <w:rPr>
          <w:rFonts w:hint="eastAsia" w:ascii="宋体" w:hAnsi="宋体" w:eastAsia="宋体" w:cs="仿宋_GB2312"/>
          <w:color w:val="000000"/>
          <w:kern w:val="0"/>
          <w:sz w:val="32"/>
          <w:szCs w:val="32"/>
          <w:lang w:val="en-US" w:eastAsia="zh-CN"/>
        </w:rPr>
        <w:t xml:space="preserve">4 </w:t>
      </w:r>
      <w:r>
        <w:rPr>
          <w:rFonts w:hint="eastAsia" w:ascii="宋体" w:hAnsi="宋体" w:eastAsia="宋体" w:cs="仿宋_GB2312"/>
          <w:color w:val="000000"/>
          <w:kern w:val="0"/>
          <w:sz w:val="32"/>
          <w:szCs w:val="32"/>
        </w:rPr>
        <w:t xml:space="preserve">年 </w:t>
      </w:r>
      <w:r>
        <w:rPr>
          <w:rFonts w:hint="eastAsia" w:ascii="宋体" w:hAnsi="宋体" w:eastAsia="宋体" w:cs="仿宋_GB2312"/>
          <w:color w:val="000000"/>
          <w:kern w:val="0"/>
          <w:sz w:val="32"/>
          <w:szCs w:val="32"/>
          <w:lang w:val="en-US" w:eastAsia="zh-CN"/>
        </w:rPr>
        <w:t>4</w:t>
      </w:r>
      <w:r>
        <w:rPr>
          <w:rFonts w:hint="eastAsia" w:ascii="宋体" w:hAnsi="宋体" w:eastAsia="宋体" w:cs="仿宋_GB2312"/>
          <w:color w:val="000000"/>
          <w:kern w:val="0"/>
          <w:sz w:val="32"/>
          <w:szCs w:val="32"/>
        </w:rPr>
        <w:t xml:space="preserve">  月 </w:t>
      </w:r>
      <w:r>
        <w:rPr>
          <w:rFonts w:hint="eastAsia" w:ascii="宋体" w:hAnsi="宋体" w:eastAsia="宋体" w:cs="仿宋_GB2312"/>
          <w:color w:val="000000"/>
          <w:kern w:val="0"/>
          <w:sz w:val="32"/>
          <w:szCs w:val="32"/>
          <w:lang w:val="en-US" w:eastAsia="zh-CN"/>
        </w:rPr>
        <w:t>28</w:t>
      </w:r>
      <w:r>
        <w:rPr>
          <w:rFonts w:hint="eastAsia" w:ascii="宋体" w:hAnsi="宋体" w:eastAsia="宋体" w:cs="仿宋_GB2312"/>
          <w:color w:val="000000"/>
          <w:kern w:val="0"/>
          <w:sz w:val="32"/>
          <w:szCs w:val="32"/>
        </w:rPr>
        <w:t xml:space="preserve">  日</w:t>
      </w:r>
    </w:p>
    <w:p>
      <w:pPr>
        <w:pageBreakBefore w:val="0"/>
        <w:widowControl/>
        <w:kinsoku/>
        <w:wordWrap/>
        <w:overflowPunct/>
        <w:topLinePunct w:val="0"/>
        <w:autoSpaceDE/>
        <w:autoSpaceDN/>
        <w:bidi w:val="0"/>
        <w:adjustRightInd/>
        <w:snapToGrid/>
        <w:spacing w:line="560" w:lineRule="exact"/>
        <w:ind w:firstLine="723" w:firstLineChars="200"/>
        <w:jc w:val="left"/>
        <w:textAlignment w:val="auto"/>
        <w:rPr>
          <w:rFonts w:ascii="宋体" w:hAnsi="宋体" w:eastAsia="宋体" w:cs="Arial"/>
          <w:b/>
          <w:bCs/>
          <w:sz w:val="36"/>
          <w:szCs w:val="36"/>
        </w:rPr>
      </w:pPr>
      <w:r>
        <w:rPr>
          <w:rFonts w:ascii="宋体" w:hAnsi="宋体" w:eastAsia="宋体" w:cs="Arial"/>
          <w:b/>
          <w:bCs/>
          <w:sz w:val="36"/>
          <w:szCs w:val="36"/>
        </w:rPr>
        <w:br w:type="page"/>
      </w:r>
    </w:p>
    <w:p>
      <w:pPr>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项目支出绩效评价报告</w:t>
      </w:r>
    </w:p>
    <w:p>
      <w:pPr>
        <w:pageBreakBefore w:val="0"/>
        <w:kinsoku/>
        <w:wordWrap/>
        <w:overflowPunct/>
        <w:topLinePunct w:val="0"/>
        <w:autoSpaceDE/>
        <w:autoSpaceDN/>
        <w:bidi w:val="0"/>
        <w:adjustRightInd/>
        <w:snapToGrid/>
        <w:spacing w:line="560" w:lineRule="exact"/>
        <w:ind w:firstLine="600" w:firstLineChars="200"/>
        <w:jc w:val="center"/>
        <w:textAlignment w:val="auto"/>
        <w:rPr>
          <w:rFonts w:ascii="仿宋_GB2312"/>
        </w:rPr>
      </w:pP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方正黑体_GBK" w:hAnsi="方正黑体_GBK" w:eastAsia="方正黑体_GBK" w:cs="方正黑体_GBK"/>
          <w:b w:val="0"/>
          <w:bCs w:val="0"/>
          <w:sz w:val="32"/>
          <w:szCs w:val="32"/>
        </w:rPr>
      </w:pPr>
      <w:bookmarkStart w:id="0" w:name="_Toc68703827"/>
      <w:r>
        <w:rPr>
          <w:rFonts w:hint="eastAsia" w:ascii="方正黑体_GBK" w:hAnsi="方正黑体_GBK" w:eastAsia="方正黑体_GBK" w:cs="方正黑体_GBK"/>
          <w:b w:val="0"/>
          <w:bCs w:val="0"/>
          <w:sz w:val="32"/>
          <w:szCs w:val="32"/>
        </w:rPr>
        <w:t>一、基本情况</w:t>
      </w:r>
      <w:bookmarkEnd w:id="0"/>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sz w:val="32"/>
          <w:szCs w:val="32"/>
        </w:rPr>
      </w:pPr>
      <w:bookmarkStart w:id="1" w:name="_Toc68703828"/>
      <w:r>
        <w:rPr>
          <w:rFonts w:hint="default" w:ascii="Times New Roman" w:hAnsi="Times New Roman" w:eastAsia="方正仿宋_GBK" w:cs="Times New Roman"/>
          <w:b w:val="0"/>
          <w:bCs w:val="0"/>
          <w:sz w:val="32"/>
          <w:szCs w:val="32"/>
        </w:rPr>
        <w:t>（一）项目概况。</w:t>
      </w:r>
      <w:bookmarkEnd w:id="1"/>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项目背景，主要内容及实施情况</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（1）项目背景</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为进一步</w:t>
      </w:r>
      <w:r>
        <w:rPr>
          <w:rFonts w:hint="default" w:ascii="Times New Roman" w:hAnsi="Times New Roman" w:eastAsia="方正仿宋_GBK" w:cs="Times New Roman"/>
          <w:color w:val="auto"/>
          <w:sz w:val="32"/>
          <w:szCs w:val="32"/>
        </w:rPr>
        <w:t>贯彻</w:t>
      </w:r>
      <w:r>
        <w:rPr>
          <w:rFonts w:hint="default" w:ascii="Times New Roman" w:hAnsi="Times New Roman" w:eastAsia="方正仿宋_GBK" w:cs="Times New Roman"/>
          <w:color w:val="auto"/>
          <w:sz w:val="32"/>
          <w:szCs w:val="32"/>
          <w:lang w:val="en-US" w:eastAsia="zh-CN"/>
        </w:rPr>
        <w:t>落实</w:t>
      </w:r>
      <w:r>
        <w:rPr>
          <w:rFonts w:hint="default" w:ascii="Times New Roman" w:hAnsi="Times New Roman" w:eastAsia="方正仿宋_GBK" w:cs="Times New Roman"/>
          <w:color w:val="auto"/>
          <w:sz w:val="32"/>
          <w:szCs w:val="32"/>
        </w:rPr>
        <w:t>县委十</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届</w:t>
      </w:r>
      <w:r>
        <w:rPr>
          <w:rFonts w:hint="default" w:ascii="Times New Roman" w:hAnsi="Times New Roman" w:eastAsia="方正仿宋_GBK" w:cs="Times New Roman"/>
          <w:color w:val="auto"/>
          <w:sz w:val="32"/>
          <w:szCs w:val="32"/>
          <w:lang w:val="en-US" w:eastAsia="zh-CN"/>
        </w:rPr>
        <w:t>七次</w:t>
      </w:r>
      <w:r>
        <w:rPr>
          <w:rFonts w:hint="default" w:ascii="Times New Roman" w:hAnsi="Times New Roman" w:eastAsia="方正仿宋_GBK" w:cs="Times New Roman"/>
          <w:color w:val="auto"/>
          <w:sz w:val="32"/>
          <w:szCs w:val="32"/>
        </w:rPr>
        <w:t>全会精神，坚定不移的沿着供给侧结构性改革和有机绿洲发展战略的道路，</w:t>
      </w:r>
      <w:r>
        <w:rPr>
          <w:rFonts w:hint="default" w:ascii="Times New Roman" w:hAnsi="Times New Roman" w:eastAsia="方正仿宋_GBK" w:cs="Times New Roman"/>
          <w:color w:val="auto"/>
          <w:sz w:val="32"/>
          <w:szCs w:val="32"/>
          <w:lang w:val="en-US" w:eastAsia="zh-CN"/>
        </w:rPr>
        <w:t>提高牧区防灾减灾能力</w:t>
      </w:r>
      <w:r>
        <w:rPr>
          <w:rFonts w:hint="default" w:ascii="Times New Roman" w:hAnsi="Times New Roman" w:eastAsia="方正仿宋_GBK" w:cs="Times New Roman"/>
          <w:color w:val="auto"/>
          <w:sz w:val="32"/>
          <w:szCs w:val="32"/>
        </w:rPr>
        <w:t>，提升</w:t>
      </w:r>
      <w:r>
        <w:rPr>
          <w:rFonts w:hint="default" w:ascii="Times New Roman" w:hAnsi="Times New Roman" w:eastAsia="方正仿宋_GBK" w:cs="Times New Roman"/>
          <w:color w:val="auto"/>
          <w:sz w:val="32"/>
          <w:szCs w:val="32"/>
          <w:lang w:val="en-US" w:eastAsia="zh-CN"/>
        </w:rPr>
        <w:t>畜牧业</w:t>
      </w:r>
      <w:r>
        <w:rPr>
          <w:rFonts w:hint="default" w:ascii="Times New Roman" w:hAnsi="Times New Roman" w:eastAsia="方正仿宋_GBK" w:cs="Times New Roman"/>
          <w:color w:val="auto"/>
          <w:sz w:val="32"/>
          <w:szCs w:val="32"/>
        </w:rPr>
        <w:t>产业化水平，</w:t>
      </w:r>
      <w:r>
        <w:rPr>
          <w:rFonts w:hint="default" w:ascii="Times New Roman" w:hAnsi="Times New Roman" w:eastAsia="方正仿宋_GBK" w:cs="Times New Roman"/>
          <w:color w:val="auto"/>
          <w:sz w:val="32"/>
          <w:szCs w:val="32"/>
          <w:lang w:val="en-US" w:eastAsia="zh-CN"/>
        </w:rPr>
        <w:t>推进畜牧产业高质量发展，根据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highlight w:val="none"/>
          <w:lang w:eastAsia="zh-CN"/>
        </w:rPr>
        <w:t>关于下达</w:t>
      </w:r>
      <w:r>
        <w:rPr>
          <w:rFonts w:hint="default" w:ascii="Times New Roman" w:hAnsi="Times New Roman" w:eastAsia="方正仿宋_GBK" w:cs="Times New Roman"/>
          <w:sz w:val="32"/>
          <w:szCs w:val="32"/>
          <w:highlight w:val="none"/>
          <w:lang w:val="en-US" w:eastAsia="zh-CN"/>
        </w:rPr>
        <w:t>2023年中央农业产业发展资金（畜牧业方面）</w:t>
      </w:r>
      <w:r>
        <w:rPr>
          <w:rFonts w:hint="default" w:ascii="Times New Roman" w:hAnsi="Times New Roman" w:eastAsia="方正仿宋_GBK" w:cs="Times New Roman"/>
          <w:sz w:val="32"/>
          <w:szCs w:val="32"/>
          <w:highlight w:val="none"/>
        </w:rPr>
        <w:t>的通知》（</w:t>
      </w:r>
      <w:r>
        <w:rPr>
          <w:rFonts w:hint="default" w:ascii="Times New Roman" w:hAnsi="Times New Roman" w:eastAsia="方正仿宋_GBK" w:cs="Times New Roman"/>
          <w:sz w:val="32"/>
          <w:szCs w:val="32"/>
          <w:highlight w:val="none"/>
          <w:lang w:eastAsia="zh-CN"/>
        </w:rPr>
        <w:t>巴财农</w:t>
      </w: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29</w:t>
      </w:r>
      <w:r>
        <w:rPr>
          <w:rFonts w:hint="default" w:ascii="Times New Roman" w:hAnsi="Times New Roman" w:eastAsia="方正仿宋_GBK" w:cs="Times New Roman"/>
          <w:sz w:val="32"/>
          <w:szCs w:val="32"/>
          <w:highlight w:val="none"/>
        </w:rPr>
        <w:t>号）</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color w:val="auto"/>
          <w:sz w:val="32"/>
          <w:szCs w:val="32"/>
          <w:lang w:val="en-US" w:eastAsia="zh-CN"/>
        </w:rPr>
        <w:t>结合且末县实际，实施该项目。</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）主要内容及实施情况</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highlight w:val="none"/>
          <w:lang w:val="en-US" w:eastAsia="zh-CN"/>
        </w:rPr>
        <w:t>主要内容：对且末县畜牧企业、合作社开展玉米青贮收储进行补贴，收储5万吨，每吨补助41.2元，合计补助206万元；对昆仑牧业、阿羌牧场畜产品畜牧养殖合作社等从种畜场引进种公羊进行补贴，每只补贴1000元，一共补贴235只，补贴23.5万元</w:t>
      </w:r>
      <w:r>
        <w:rPr>
          <w:rFonts w:hint="default" w:ascii="Times New Roman" w:hAnsi="Times New Roman" w:eastAsia="方正仿宋_GBK" w:cs="Times New Roman"/>
          <w:color w:val="auto"/>
          <w:sz w:val="32"/>
          <w:szCs w:val="32"/>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highlight w:val="none"/>
        </w:rPr>
        <w:t>实施情况：</w:t>
      </w:r>
      <w:r>
        <w:rPr>
          <w:rFonts w:hint="default" w:ascii="Times New Roman" w:hAnsi="Times New Roman" w:eastAsia="方正仿宋_GBK" w:cs="Times New Roman"/>
          <w:sz w:val="32"/>
          <w:szCs w:val="32"/>
          <w:highlight w:val="none"/>
          <w:lang w:val="en-US" w:eastAsia="zh-CN"/>
        </w:rPr>
        <w:t>通过项目实施，提高且末县畜牧产业发展能力。一是对且末县畜牧企业、合作社开展玉米青贮收储进行补贴，收储5万吨，每吨补助41.2元，合计补助206万元。二是对昆仑牧业、阿羌牧场畜产品畜牧养殖合作社等从种畜场引进种公羊进行补贴，每只补贴1000元，一共补贴235只，补贴23.5万元。</w:t>
      </w:r>
      <w:r>
        <w:rPr>
          <w:rFonts w:hint="default" w:ascii="Times New Roman" w:hAnsi="Times New Roman" w:eastAsia="方正仿宋_GBK" w:cs="Times New Roman"/>
          <w:color w:val="auto"/>
          <w:sz w:val="32"/>
          <w:szCs w:val="32"/>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资金投入和使用情况</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资金投入情况：该项目年初预算数</w:t>
      </w:r>
      <w:r>
        <w:rPr>
          <w:rFonts w:hint="default" w:ascii="Times New Roman" w:hAnsi="Times New Roman" w:eastAsia="方正仿宋_GBK" w:cs="Times New Roman"/>
          <w:color w:val="auto"/>
          <w:sz w:val="32"/>
          <w:szCs w:val="32"/>
          <w:lang w:val="en-US" w:eastAsia="zh-CN"/>
        </w:rPr>
        <w:t>229.5</w:t>
      </w:r>
      <w:r>
        <w:rPr>
          <w:rFonts w:hint="default" w:ascii="Times New Roman" w:hAnsi="Times New Roman" w:eastAsia="方正仿宋_GBK" w:cs="Times New Roman"/>
          <w:color w:val="auto"/>
          <w:sz w:val="32"/>
          <w:szCs w:val="32"/>
        </w:rPr>
        <w:t>万元，全年预算数</w:t>
      </w:r>
      <w:r>
        <w:rPr>
          <w:rFonts w:hint="default" w:ascii="Times New Roman" w:hAnsi="Times New Roman" w:eastAsia="方正仿宋_GBK" w:cs="Times New Roman"/>
          <w:color w:val="auto"/>
          <w:sz w:val="32"/>
          <w:szCs w:val="32"/>
          <w:lang w:val="en-US" w:eastAsia="zh-CN"/>
        </w:rPr>
        <w:t>229.5</w:t>
      </w:r>
      <w:r>
        <w:rPr>
          <w:rFonts w:hint="default" w:ascii="Times New Roman" w:hAnsi="Times New Roman" w:eastAsia="方正仿宋_GBK" w:cs="Times New Roman"/>
          <w:color w:val="auto"/>
          <w:sz w:val="32"/>
          <w:szCs w:val="32"/>
        </w:rPr>
        <w:t>万元，实际总投入</w:t>
      </w:r>
      <w:r>
        <w:rPr>
          <w:rFonts w:hint="default" w:ascii="Times New Roman" w:hAnsi="Times New Roman" w:eastAsia="方正仿宋_GBK" w:cs="Times New Roman"/>
          <w:color w:val="auto"/>
          <w:sz w:val="32"/>
          <w:szCs w:val="32"/>
          <w:lang w:val="en-US" w:eastAsia="zh-CN"/>
        </w:rPr>
        <w:t>229.5</w:t>
      </w:r>
      <w:r>
        <w:rPr>
          <w:rFonts w:hint="default" w:ascii="Times New Roman" w:hAnsi="Times New Roman" w:eastAsia="方正仿宋_GBK" w:cs="Times New Roman"/>
          <w:color w:val="auto"/>
          <w:sz w:val="32"/>
          <w:szCs w:val="32"/>
        </w:rPr>
        <w:t>万元，该项目资金已全部落实到位，资金来源为</w:t>
      </w:r>
      <w:r>
        <w:rPr>
          <w:rFonts w:hint="default" w:ascii="Times New Roman" w:hAnsi="Times New Roman" w:eastAsia="方正仿宋_GBK" w:cs="Times New Roman"/>
          <w:color w:val="auto"/>
          <w:sz w:val="32"/>
          <w:szCs w:val="32"/>
          <w:lang w:val="en-US" w:eastAsia="zh-CN"/>
        </w:rPr>
        <w:t>中央预算内资金</w:t>
      </w:r>
      <w:r>
        <w:rPr>
          <w:rFonts w:hint="default" w:ascii="Times New Roman" w:hAnsi="Times New Roman" w:eastAsia="方正仿宋_GBK" w:cs="Times New Roman"/>
          <w:color w:val="auto"/>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资金使用情况：该项目年初预算数</w:t>
      </w:r>
      <w:r>
        <w:rPr>
          <w:rFonts w:hint="default" w:ascii="Times New Roman" w:hAnsi="Times New Roman" w:eastAsia="方正仿宋_GBK" w:cs="Times New Roman"/>
          <w:color w:val="auto"/>
          <w:sz w:val="32"/>
          <w:szCs w:val="32"/>
          <w:lang w:val="en-US" w:eastAsia="zh-CN"/>
        </w:rPr>
        <w:t>229.5</w:t>
      </w:r>
      <w:r>
        <w:rPr>
          <w:rFonts w:hint="default" w:ascii="Times New Roman" w:hAnsi="Times New Roman" w:eastAsia="方正仿宋_GBK" w:cs="Times New Roman"/>
          <w:color w:val="auto"/>
          <w:sz w:val="32"/>
          <w:szCs w:val="32"/>
        </w:rPr>
        <w:t>万元，全年预算数</w:t>
      </w:r>
      <w:r>
        <w:rPr>
          <w:rFonts w:hint="default" w:ascii="Times New Roman" w:hAnsi="Times New Roman" w:eastAsia="方正仿宋_GBK" w:cs="Times New Roman"/>
          <w:color w:val="auto"/>
          <w:sz w:val="32"/>
          <w:szCs w:val="32"/>
          <w:lang w:val="en-US" w:eastAsia="zh-CN"/>
        </w:rPr>
        <w:t>229.5</w:t>
      </w:r>
      <w:r>
        <w:rPr>
          <w:rFonts w:hint="default" w:ascii="Times New Roman" w:hAnsi="Times New Roman" w:eastAsia="方正仿宋_GBK" w:cs="Times New Roman"/>
          <w:color w:val="auto"/>
          <w:sz w:val="32"/>
          <w:szCs w:val="32"/>
        </w:rPr>
        <w:t>万元，全年执行数</w:t>
      </w:r>
      <w:r>
        <w:rPr>
          <w:rFonts w:hint="default" w:ascii="Times New Roman" w:hAnsi="Times New Roman" w:eastAsia="方正仿宋_GBK" w:cs="Times New Roman"/>
          <w:color w:val="auto"/>
          <w:sz w:val="32"/>
          <w:szCs w:val="32"/>
          <w:lang w:val="en-US" w:eastAsia="zh-CN"/>
        </w:rPr>
        <w:t>64.7</w:t>
      </w:r>
      <w:r>
        <w:rPr>
          <w:rFonts w:hint="default" w:ascii="Times New Roman" w:hAnsi="Times New Roman" w:eastAsia="方正仿宋_GBK" w:cs="Times New Roman"/>
          <w:color w:val="auto"/>
          <w:sz w:val="32"/>
          <w:szCs w:val="32"/>
        </w:rPr>
        <w:t>万元，预算执行率为</w:t>
      </w:r>
      <w:r>
        <w:rPr>
          <w:rFonts w:hint="default" w:ascii="Times New Roman" w:hAnsi="Times New Roman" w:eastAsia="方正仿宋_GBK" w:cs="Times New Roman"/>
          <w:color w:val="auto"/>
          <w:sz w:val="32"/>
          <w:szCs w:val="32"/>
          <w:lang w:val="en-US" w:eastAsia="zh-CN"/>
        </w:rPr>
        <w:t>28.21</w:t>
      </w:r>
      <w:r>
        <w:rPr>
          <w:rFonts w:hint="default" w:ascii="Times New Roman" w:hAnsi="Times New Roman" w:eastAsia="方正仿宋_GBK" w:cs="Times New Roman"/>
          <w:color w:val="auto"/>
          <w:sz w:val="32"/>
          <w:szCs w:val="32"/>
        </w:rPr>
        <w:t>%，用于：</w:t>
      </w:r>
      <w:r>
        <w:rPr>
          <w:rFonts w:hint="default" w:ascii="Times New Roman" w:hAnsi="Times New Roman" w:eastAsia="方正仿宋_GBK" w:cs="Times New Roman"/>
          <w:sz w:val="32"/>
          <w:szCs w:val="32"/>
          <w:highlight w:val="none"/>
          <w:lang w:val="en-US" w:eastAsia="zh-CN"/>
        </w:rPr>
        <w:t>全部用于</w:t>
      </w:r>
      <w:bookmarkStart w:id="2" w:name="_Toc68703829"/>
      <w:r>
        <w:rPr>
          <w:rFonts w:hint="default" w:ascii="Times New Roman" w:hAnsi="Times New Roman" w:eastAsia="方正仿宋_GBK" w:cs="Times New Roman"/>
          <w:sz w:val="32"/>
          <w:szCs w:val="32"/>
          <w:highlight w:val="none"/>
          <w:lang w:val="en-US" w:eastAsia="zh-CN"/>
        </w:rPr>
        <w:t>2023年玉米青贮收储和良种补贴。</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rPr>
        <w:t>（二）项目绩效目标</w:t>
      </w:r>
      <w:bookmarkEnd w:id="2"/>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rPr>
        <w:t>包括总体目标和阶段性目标。</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总体目标：</w:t>
      </w:r>
      <w:r>
        <w:rPr>
          <w:rFonts w:hint="default" w:ascii="Times New Roman" w:hAnsi="Times New Roman" w:eastAsia="方正仿宋_GBK" w:cs="Times New Roman"/>
          <w:sz w:val="32"/>
          <w:szCs w:val="32"/>
          <w:highlight w:val="none"/>
          <w:lang w:val="en-US" w:eastAsia="zh-CN"/>
        </w:rPr>
        <w:t>对且末县畜牧企业、合作社开展玉米青贮收储进行补贴，收储5万吨，每吨补助41.2元，合计补助206万元；对昆仑牧业、阿羌牧场畜产品畜牧养殖合作社等从种畜场引进种公羊进行补贴，每只补贴1000元，一共补贴235只，补贴23.5万元</w:t>
      </w:r>
      <w:r>
        <w:rPr>
          <w:rFonts w:hint="default" w:ascii="Times New Roman" w:hAnsi="Times New Roman" w:eastAsia="方正仿宋_GBK" w:cs="Times New Roman"/>
          <w:sz w:val="32"/>
          <w:szCs w:val="32"/>
        </w:rPr>
        <w:t>。</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阶段性目标：</w:t>
      </w:r>
      <w:r>
        <w:rPr>
          <w:rFonts w:hint="default" w:ascii="Times New Roman" w:hAnsi="Times New Roman" w:eastAsia="方正仿宋_GBK" w:cs="Times New Roman"/>
          <w:sz w:val="32"/>
          <w:szCs w:val="32"/>
          <w:highlight w:val="none"/>
          <w:lang w:val="en-US" w:eastAsia="zh-CN"/>
        </w:rPr>
        <w:t>通过项目实施，提高且末县畜牧产业发展能力。一是对且末县畜牧企业、合作社开展玉米青贮收储进行补贴，收储5万吨，每吨补助41.2元，合计补助206万元。二是对昆仑牧业、阿羌牧场畜产品畜牧养殖合作社等从种畜场引进种公羊进行补贴，每只补贴1000元，一共补贴235只，补贴23.5万元</w:t>
      </w:r>
      <w:r>
        <w:rPr>
          <w:rFonts w:hint="default" w:ascii="Times New Roman" w:hAnsi="Times New Roman" w:eastAsia="方正仿宋_GBK" w:cs="Times New Roman"/>
          <w:sz w:val="32"/>
          <w:szCs w:val="32"/>
        </w:rPr>
        <w:t>。</w:t>
      </w: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方正黑体_GBK" w:hAnsi="方正黑体_GBK" w:eastAsia="方正黑体_GBK" w:cs="方正黑体_GBK"/>
          <w:b w:val="0"/>
          <w:bCs w:val="0"/>
          <w:sz w:val="32"/>
          <w:szCs w:val="32"/>
        </w:rPr>
      </w:pPr>
      <w:bookmarkStart w:id="3" w:name="_Toc68703830"/>
      <w:r>
        <w:rPr>
          <w:rFonts w:hint="default" w:ascii="方正黑体_GBK" w:hAnsi="方正黑体_GBK" w:eastAsia="方正黑体_GBK" w:cs="方正黑体_GBK"/>
          <w:b w:val="0"/>
          <w:bCs w:val="0"/>
          <w:sz w:val="32"/>
          <w:szCs w:val="32"/>
        </w:rPr>
        <w:t>二、绩效评价工作开展情况</w:t>
      </w:r>
      <w:bookmarkEnd w:id="3"/>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4" w:name="_Toc68703831"/>
      <w:r>
        <w:rPr>
          <w:rFonts w:hint="default" w:ascii="Times New Roman" w:hAnsi="Times New Roman" w:eastAsia="方正仿宋_GBK" w:cs="Times New Roman"/>
          <w:b w:val="0"/>
          <w:bCs w:val="0"/>
          <w:sz w:val="32"/>
          <w:szCs w:val="32"/>
        </w:rPr>
        <w:t>（一）绩效评价目的、对象和范围。</w:t>
      </w:r>
      <w:bookmarkEnd w:id="4"/>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绩效评价目的：</w:t>
      </w:r>
    </w:p>
    <w:p>
      <w:pPr>
        <w:pStyle w:val="22"/>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通过开展有效的财政支出绩效评价管理，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也为下一年预算编制与评审提供充分有效的依据，以达到改进预算管理、控制节约成本，优化资源配置、提高预算资金使用效益的目的。</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绩效评价对象：</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2023年中央农业</w:t>
      </w:r>
      <w:r>
        <w:rPr>
          <w:rFonts w:hint="eastAsia" w:eastAsia="方正仿宋_GBK" w:cs="Times New Roman"/>
          <w:color w:val="auto"/>
          <w:sz w:val="32"/>
          <w:szCs w:val="32"/>
          <w:lang w:val="en-US" w:eastAsia="zh-CN"/>
        </w:rPr>
        <w:t>产业发展</w:t>
      </w:r>
      <w:r>
        <w:rPr>
          <w:rFonts w:hint="default" w:ascii="Times New Roman" w:hAnsi="Times New Roman" w:eastAsia="方正仿宋_GBK" w:cs="Times New Roman"/>
          <w:color w:val="auto"/>
          <w:sz w:val="32"/>
          <w:szCs w:val="32"/>
          <w:lang w:val="en-US" w:eastAsia="zh-CN"/>
        </w:rPr>
        <w:t>资金</w:t>
      </w:r>
      <w:r>
        <w:rPr>
          <w:rFonts w:hint="eastAsia" w:eastAsia="方正仿宋_GBK" w:cs="Times New Roman"/>
          <w:color w:val="auto"/>
          <w:sz w:val="32"/>
          <w:szCs w:val="32"/>
          <w:lang w:val="en-US" w:eastAsia="zh-CN"/>
        </w:rPr>
        <w:t>（畜牧业）</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绩效评价范围：</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本次评价从项目决策（包括绩效目标、决策过程）、项目管理（包括项目资金、项目实施）、项目产出（包括项目产出数量、产出质量、产出时效和产出成本）项目效益四个维度进行</w:t>
      </w:r>
      <w:r>
        <w:rPr>
          <w:rFonts w:hint="default" w:ascii="Times New Roman" w:hAnsi="Times New Roman" w:eastAsia="方正仿宋_GBK" w:cs="Times New Roman"/>
          <w:color w:val="auto"/>
          <w:sz w:val="32"/>
          <w:szCs w:val="32"/>
          <w:lang w:val="en-US" w:eastAsia="zh-CN"/>
        </w:rPr>
        <w:t>2023年中央农业产业发展资金（畜牧业）</w:t>
      </w:r>
      <w:r>
        <w:rPr>
          <w:rFonts w:hint="default" w:ascii="Times New Roman" w:hAnsi="Times New Roman" w:eastAsia="方正仿宋_GBK" w:cs="Times New Roman"/>
          <w:color w:val="auto"/>
          <w:sz w:val="32"/>
          <w:szCs w:val="32"/>
        </w:rPr>
        <w:t>评价，评价核心为资金的支出完成情况和效果。</w:t>
      </w:r>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sz w:val="32"/>
          <w:szCs w:val="32"/>
        </w:rPr>
      </w:pPr>
      <w:bookmarkStart w:id="5" w:name="_Toc68703832"/>
      <w:r>
        <w:rPr>
          <w:rFonts w:hint="default" w:ascii="Times New Roman" w:hAnsi="Times New Roman" w:eastAsia="方正仿宋_GBK" w:cs="Times New Roman"/>
          <w:b w:val="0"/>
          <w:bCs w:val="0"/>
          <w:sz w:val="32"/>
          <w:szCs w:val="32"/>
        </w:rPr>
        <w:t>（二）绩效评价原则、评价指标体系</w:t>
      </w:r>
      <w:r>
        <w:rPr>
          <w:rFonts w:hint="default" w:ascii="Times New Roman" w:hAnsi="Times New Roman" w:eastAsia="方正仿宋_GBK" w:cs="Times New Roman"/>
          <w:b w:val="0"/>
          <w:bCs w:val="0"/>
          <w:sz w:val="32"/>
          <w:szCs w:val="32"/>
          <w:lang w:eastAsia="zh-CN"/>
        </w:rPr>
        <w:t>（附表说明）</w:t>
      </w:r>
      <w:r>
        <w:rPr>
          <w:rFonts w:hint="default" w:ascii="Times New Roman" w:hAnsi="Times New Roman" w:eastAsia="方正仿宋_GBK" w:cs="Times New Roman"/>
          <w:b w:val="0"/>
          <w:bCs w:val="0"/>
          <w:sz w:val="32"/>
          <w:szCs w:val="32"/>
        </w:rPr>
        <w:t>、评价方法、评价标准等。</w:t>
      </w:r>
      <w:bookmarkEnd w:id="5"/>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绩效评价原则</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FF0000"/>
          <w:sz w:val="32"/>
          <w:szCs w:val="32"/>
        </w:rPr>
      </w:pPr>
      <w:r>
        <w:rPr>
          <w:rFonts w:hint="default" w:ascii="Times New Roman" w:hAnsi="Times New Roman" w:eastAsia="方正仿宋_GBK" w:cs="Times New Roman"/>
          <w:color w:val="000000"/>
          <w:sz w:val="32"/>
          <w:szCs w:val="32"/>
        </w:rPr>
        <w:t>本次项目绩效评价遵循以下基本原则：</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（一）科学公正。本次项目支出绩效评价运用科学合理的方法，按照规范的程序，对项目绩效进行客观、公正的反映。</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（二）统筹兼顾。本次项目支出绩效评价由本单位自主实施，即“谁支出、谁自评”。</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（三）激励约束。本次项目支出绩效评价结果与预算安排、政策调整、改进管理实质性挂钩，体现奖优罚劣和激励相容导向，有效要安排、低效要压减、无效要问责。</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（四）公开透明。本次项目支出绩效评价结果已依法依规公开在</w:t>
      </w:r>
      <w:r>
        <w:rPr>
          <w:rFonts w:hint="default" w:ascii="Times New Roman" w:hAnsi="Times New Roman" w:eastAsia="方正仿宋_GBK" w:cs="Times New Roman"/>
          <w:bCs/>
          <w:color w:val="auto"/>
          <w:sz w:val="32"/>
          <w:szCs w:val="32"/>
          <w:lang w:val="en-US" w:eastAsia="zh-CN"/>
        </w:rPr>
        <w:t>县财政局指定</w:t>
      </w:r>
      <w:r>
        <w:rPr>
          <w:rFonts w:hint="default" w:ascii="Times New Roman" w:hAnsi="Times New Roman" w:eastAsia="方正仿宋_GBK" w:cs="Times New Roman"/>
          <w:bCs/>
          <w:color w:val="auto"/>
          <w:sz w:val="32"/>
          <w:szCs w:val="32"/>
        </w:rPr>
        <w:t>网站上，并自觉接受社会监督。</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评价指标体系（附表说明）</w:t>
      </w:r>
    </w:p>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绩效评价框架是开展绩效评价的核心。绩效评价框架包括评价准则、关键评价问题、评价指标、数据来源、数据收集方法等。指标体系建立过程如下：</w:t>
      </w:r>
    </w:p>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（1）确定评价指标</w:t>
      </w:r>
    </w:p>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采用层次分析法，建立评价指标体系。绩效评价将指标分为项目决策指标、项目过程指标、项目产出指标、项目效益指标四个维度，最终形成一个由多个相互联系的指标组成的多层次指标体系。</w:t>
      </w:r>
    </w:p>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（2）确定权重</w:t>
      </w:r>
    </w:p>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方正仿宋_GBK" w:cs="Times New Roman"/>
          <w:color w:val="auto"/>
          <w:spacing w:val="17"/>
          <w:sz w:val="32"/>
          <w:szCs w:val="32"/>
          <w:lang w:eastAsia="zh-CN"/>
        </w:rPr>
      </w:pPr>
      <w:r>
        <w:rPr>
          <w:rFonts w:hint="default" w:ascii="Times New Roman" w:hAnsi="Times New Roman" w:eastAsia="方正仿宋_GBK" w:cs="Times New Roman"/>
          <w:color w:val="000000"/>
          <w:spacing w:val="17"/>
          <w:sz w:val="32"/>
          <w:szCs w:val="32"/>
        </w:rPr>
        <w:t>确定各个指标相对于项目总体绩效的权重分值。在绩效评价指标体系中，</w:t>
      </w:r>
      <w:r>
        <w:rPr>
          <w:rFonts w:hint="default" w:ascii="Times New Roman" w:hAnsi="Times New Roman" w:eastAsia="方正仿宋_GBK" w:cs="Times New Roman"/>
          <w:color w:val="auto"/>
          <w:spacing w:val="17"/>
          <w:sz w:val="32"/>
          <w:szCs w:val="32"/>
        </w:rPr>
        <w:t>项目决策权重为20分，项目过程权重为20分，项目产出权重为40分，项目效益权重为20分。</w:t>
      </w:r>
    </w:p>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（3）确定指标标准值</w:t>
      </w:r>
    </w:p>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方正仿宋_GBK" w:cs="Times New Roman"/>
          <w:color w:val="000000"/>
          <w:spacing w:val="17"/>
          <w:sz w:val="32"/>
          <w:szCs w:val="32"/>
        </w:rPr>
      </w:pPr>
      <w:r>
        <w:rPr>
          <w:rFonts w:hint="default" w:ascii="Times New Roman" w:hAnsi="Times New Roman" w:eastAsia="方正仿宋_GBK" w:cs="Times New Roman"/>
          <w:color w:val="000000"/>
          <w:spacing w:val="17"/>
          <w:sz w:val="32"/>
          <w:szCs w:val="32"/>
        </w:rPr>
        <w:t>指标标准值是绩效评价指标的尺度，既要反映同类项目的先进水平，又要符合项目的实际绩效水平。具体采用计划标准等确定此次绩效评价指标标准值。</w:t>
      </w:r>
    </w:p>
    <w:p>
      <w:pPr>
        <w:pStyle w:val="12"/>
        <w:pageBreakBefore w:val="0"/>
        <w:kinsoku/>
        <w:wordWrap/>
        <w:overflowPunct/>
        <w:topLinePunct w:val="0"/>
        <w:autoSpaceDE/>
        <w:autoSpaceDN/>
        <w:bidi w:val="0"/>
        <w:adjustRightInd/>
        <w:snapToGrid/>
        <w:spacing w:before="0" w:after="0" w:line="560" w:lineRule="exact"/>
        <w:ind w:firstLine="708" w:firstLineChars="200"/>
        <w:jc w:val="both"/>
        <w:textAlignment w:val="auto"/>
        <w:rPr>
          <w:rFonts w:hint="default" w:ascii="Times New Roman" w:hAnsi="Times New Roman" w:eastAsia="方正仿宋_GBK" w:cs="Times New Roman"/>
          <w:b w:val="0"/>
          <w:bCs w:val="0"/>
          <w:color w:val="000000"/>
          <w:spacing w:val="17"/>
          <w:kern w:val="2"/>
          <w:sz w:val="32"/>
          <w:szCs w:val="32"/>
        </w:rPr>
      </w:pPr>
      <w:r>
        <w:rPr>
          <w:rFonts w:hint="default" w:ascii="Times New Roman" w:hAnsi="Times New Roman" w:eastAsia="方正仿宋_GBK" w:cs="Times New Roman"/>
          <w:b w:val="0"/>
          <w:bCs w:val="0"/>
          <w:color w:val="000000"/>
          <w:spacing w:val="17"/>
          <w:kern w:val="2"/>
          <w:sz w:val="32"/>
          <w:szCs w:val="32"/>
        </w:rPr>
        <w:t>绩效评价总分值100分，根据综合评分结果，评价计分90分-100分（含90分）对应的评分结果级别为优，80-90分（含80分）对应的评分结果级别为良，60-80分（含60分）对应的评分结果级别为中，60分以下对应的评分结果级别为差。</w:t>
      </w:r>
    </w:p>
    <w:p>
      <w:pPr>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_GB2312" w:cs="Times New Roman"/>
          <w:b w:val="0"/>
          <w:bCs w:val="0"/>
          <w:color w:val="auto"/>
          <w:sz w:val="30"/>
          <w:szCs w:val="24"/>
          <w:lang w:val="en-US" w:eastAsia="zh-CN"/>
        </w:rPr>
      </w:pPr>
      <w:r>
        <w:rPr>
          <w:rFonts w:hint="eastAsia"/>
        </w:rPr>
        <w:t>2、评价指标体系（附表说明）</w:t>
      </w:r>
    </w:p>
    <w:p>
      <w:r>
        <w:rPr>
          <w:rFonts w:hint="default"/>
          <w:lang w:val="en-US" w:eastAsia="zh-CN"/>
        </w:rPr>
        <w:t>2023年中央农业产业发展资金（畜牧业）支出绩效评价指标体系</w:t>
      </w:r>
    </w:p>
    <w:tbl>
      <w:tblPr>
        <w:tblStyle w:val="13"/>
        <w:tblW w:w="903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57"/>
        <w:gridCol w:w="1308"/>
        <w:gridCol w:w="1350"/>
        <w:gridCol w:w="3978"/>
        <w:gridCol w:w="1002"/>
        <w:gridCol w:w="6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20" w:hRule="atLeast"/>
          <w:tblHeader/>
          <w:jc w:val="center"/>
        </w:trPr>
        <w:tc>
          <w:tcPr>
            <w:tcW w:w="757" w:type="dxa"/>
            <w:shd w:val="clear" w:color="auto" w:fill="FFFFFF"/>
            <w:vAlign w:val="center"/>
          </w:tcPr>
          <w:p>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一级指标</w:t>
            </w:r>
          </w:p>
        </w:tc>
        <w:tc>
          <w:tcPr>
            <w:tcW w:w="1308" w:type="dxa"/>
            <w:shd w:val="clear" w:color="auto" w:fill="FFFFFF"/>
            <w:vAlign w:val="center"/>
          </w:tcPr>
          <w:p>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二级指标</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eastAsia="宋体" w:cs="宋体"/>
                <w:b/>
                <w:bCs/>
                <w:color w:val="auto"/>
                <w:kern w:val="0"/>
                <w:sz w:val="22"/>
              </w:rPr>
            </w:pPr>
            <w:r>
              <w:rPr>
                <w:rFonts w:hint="eastAsia" w:ascii="宋体" w:hAnsi="宋体" w:eastAsia="宋体" w:cs="宋体"/>
                <w:b/>
                <w:bCs/>
                <w:color w:val="auto"/>
                <w:kern w:val="0"/>
                <w:sz w:val="22"/>
              </w:rPr>
              <w:t>三级指标</w:t>
            </w:r>
          </w:p>
        </w:tc>
        <w:tc>
          <w:tcPr>
            <w:tcW w:w="3978" w:type="dxa"/>
            <w:tcBorders>
              <w:right w:val="single" w:color="auto" w:sz="4" w:space="0"/>
            </w:tcBorders>
            <w:shd w:val="clear" w:color="auto" w:fill="FFFFFF"/>
          </w:tcPr>
          <w:p>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指标解释</w:t>
            </w:r>
          </w:p>
        </w:tc>
        <w:tc>
          <w:tcPr>
            <w:tcW w:w="1002" w:type="dxa"/>
            <w:tcBorders>
              <w:left w:val="single" w:color="auto" w:sz="4" w:space="0"/>
            </w:tcBorders>
            <w:shd w:val="clear" w:color="auto" w:fill="FFFFFF"/>
          </w:tcPr>
          <w:p>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分值</w:t>
            </w:r>
          </w:p>
        </w:tc>
        <w:tc>
          <w:tcPr>
            <w:tcW w:w="636" w:type="dxa"/>
            <w:shd w:val="clear" w:color="auto" w:fill="FFFFFF"/>
          </w:tcPr>
          <w:p>
            <w:pPr>
              <w:widowControl/>
              <w:spacing w:line="600" w:lineRule="auto"/>
              <w:jc w:val="center"/>
              <w:rPr>
                <w:rFonts w:ascii="宋体" w:hAnsi="宋体" w:eastAsia="宋体" w:cs="宋体"/>
                <w:b/>
                <w:bCs/>
                <w:color w:val="auto"/>
                <w:kern w:val="0"/>
                <w:sz w:val="22"/>
              </w:rPr>
            </w:pPr>
            <w:r>
              <w:rPr>
                <w:rFonts w:hint="eastAsia" w:ascii="宋体" w:hAnsi="宋体" w:eastAsia="宋体" w:cs="宋体"/>
                <w:b/>
                <w:bCs/>
                <w:color w:val="auto"/>
                <w:kern w:val="0"/>
                <w:sz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jc w:val="center"/>
        </w:trPr>
        <w:tc>
          <w:tcPr>
            <w:tcW w:w="757"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决策</w:t>
            </w: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项目立项　</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立项依据</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充分性</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项目立项是否符合法律法规、相关政策、发展规划以及部门职责，用以反映和考核项目立项依据情况。</w:t>
            </w:r>
          </w:p>
        </w:tc>
        <w:tc>
          <w:tcPr>
            <w:tcW w:w="1002"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3</w:t>
            </w:r>
          </w:p>
        </w:tc>
        <w:tc>
          <w:tcPr>
            <w:tcW w:w="636" w:type="dxa"/>
            <w:tcBorders>
              <w:bottom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立项程序</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规范性</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项目申请、设立过程是否符合相关要求，用以反映和考核项目立项的规范情况</w:t>
            </w:r>
          </w:p>
        </w:tc>
        <w:tc>
          <w:tcPr>
            <w:tcW w:w="1002"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3</w:t>
            </w:r>
          </w:p>
        </w:tc>
        <w:tc>
          <w:tcPr>
            <w:tcW w:w="636" w:type="dxa"/>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13"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绩效目标</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绩效目标</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合理性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项目所设定的绩效目标是否依据充分，是否符合客观实际，用以反映和考核项目绩效目标与项目实施的相符情况。</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3</w:t>
            </w:r>
          </w:p>
        </w:tc>
        <w:tc>
          <w:tcPr>
            <w:tcW w:w="636"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绩效指标</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明确性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依据绩效目标设定的绩效指标是否清晰、细化、可衡量等，用以反映和考核项目绩效目标的明细化情况。</w:t>
            </w:r>
          </w:p>
        </w:tc>
        <w:tc>
          <w:tcPr>
            <w:tcW w:w="1002"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c>
          <w:tcPr>
            <w:tcW w:w="636" w:type="dxa"/>
            <w:tcBorders>
              <w:bottom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1"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资金投入</w:t>
            </w:r>
          </w:p>
          <w:p>
            <w:pPr>
              <w:spacing w:line="0" w:lineRule="atLeast"/>
              <w:jc w:val="center"/>
              <w:rPr>
                <w:rFonts w:ascii="宋体" w:hAnsi="宋体" w:cs="宋体"/>
                <w:color w:val="auto"/>
                <w:kern w:val="0"/>
                <w:sz w:val="22"/>
              </w:rPr>
            </w:pPr>
            <w:r>
              <w:rPr>
                <w:rFonts w:hint="eastAsia" w:ascii="宋体" w:hAnsi="宋体" w:cs="宋体"/>
                <w:color w:val="auto"/>
                <w:kern w:val="0"/>
                <w:sz w:val="22"/>
              </w:rPr>
              <w:t>　</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预算编制</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科学性</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项目预算编制是否经过科学论证、有明确标准，资金额度与年度目标是否相适应，用以反映和考核项目预算编制的科学性、合理性情况。</w:t>
            </w:r>
          </w:p>
        </w:tc>
        <w:tc>
          <w:tcPr>
            <w:tcW w:w="1002" w:type="dxa"/>
            <w:tcBorders>
              <w:left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3</w:t>
            </w:r>
          </w:p>
        </w:tc>
        <w:tc>
          <w:tcPr>
            <w:tcW w:w="636" w:type="dxa"/>
            <w:tcBorders>
              <w:bottom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4"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资金分配</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合理性</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项目预算资金分配是否有测算依据，与补助单位或地方实际是否相适应，用以反映和考核项目预算资金分配的科学性、合理性情况。</w:t>
            </w:r>
          </w:p>
        </w:tc>
        <w:tc>
          <w:tcPr>
            <w:tcW w:w="1002" w:type="dxa"/>
            <w:tcBorders>
              <w:left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4</w:t>
            </w:r>
          </w:p>
        </w:tc>
        <w:tc>
          <w:tcPr>
            <w:tcW w:w="636" w:type="dxa"/>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8" w:hRule="atLeast"/>
          <w:jc w:val="center"/>
        </w:trPr>
        <w:tc>
          <w:tcPr>
            <w:tcW w:w="757" w:type="dxa"/>
            <w:vMerge w:val="restart"/>
            <w:shd w:val="clear" w:color="auto" w:fill="FFFFFF"/>
            <w:vAlign w:val="center"/>
          </w:tcPr>
          <w:p>
            <w:pPr>
              <w:spacing w:line="0" w:lineRule="atLeast"/>
              <w:jc w:val="center"/>
              <w:rPr>
                <w:rFonts w:ascii="宋体" w:hAnsi="宋体" w:cs="宋体"/>
                <w:color w:val="auto"/>
                <w:kern w:val="0"/>
                <w:sz w:val="22"/>
              </w:rPr>
            </w:pPr>
            <w:r>
              <w:rPr>
                <w:rFonts w:hint="eastAsia" w:ascii="宋体" w:hAnsi="宋体" w:cs="宋体"/>
                <w:color w:val="auto"/>
                <w:kern w:val="0"/>
                <w:sz w:val="22"/>
              </w:rPr>
              <w:t>过程</w:t>
            </w: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资金管理</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资金到位率</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实际到位资金与预算资金的比率，用以反映和考核资金落实情况对项目实施的总体保障程度。</w:t>
            </w:r>
          </w:p>
        </w:tc>
        <w:tc>
          <w:tcPr>
            <w:tcW w:w="1002"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c>
          <w:tcPr>
            <w:tcW w:w="636" w:type="dxa"/>
            <w:tcBorders>
              <w:bottom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2"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vMerge w:val="continue"/>
            <w:shd w:val="clear" w:color="auto" w:fill="FFFFFF"/>
            <w:vAlign w:val="center"/>
          </w:tcPr>
          <w:p>
            <w:pPr>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预算执行率</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项目预算资金是否按照计划执行，用以反映或考核项目预算执行情况</w:t>
            </w:r>
          </w:p>
        </w:tc>
        <w:tc>
          <w:tcPr>
            <w:tcW w:w="1002" w:type="dxa"/>
            <w:tcBorders>
              <w:left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4</w:t>
            </w:r>
          </w:p>
        </w:tc>
        <w:tc>
          <w:tcPr>
            <w:tcW w:w="636" w:type="dxa"/>
            <w:tcBorders>
              <w:bottom w:val="single" w:color="auto" w:sz="4" w:space="0"/>
            </w:tcBorders>
            <w:shd w:val="clear" w:color="auto" w:fill="FFFFFF"/>
          </w:tcPr>
          <w:p>
            <w:pPr>
              <w:spacing w:line="600" w:lineRule="auto"/>
              <w:jc w:val="center"/>
              <w:rPr>
                <w:rFonts w:hint="eastAsia" w:eastAsia="仿宋_GB2312"/>
                <w:color w:val="auto"/>
                <w:lang w:val="en-US" w:eastAsia="zh-CN"/>
              </w:rPr>
            </w:pPr>
            <w:r>
              <w:rPr>
                <w:rFonts w:hint="eastAsia"/>
                <w:color w:val="auto"/>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7"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资金管理</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资金使用</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合规性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项目资金使用是否符合相关的财务管理制度规定，用以反映和考核项目资金的规范运行情况。</w:t>
            </w:r>
          </w:p>
        </w:tc>
        <w:tc>
          <w:tcPr>
            <w:tcW w:w="1002"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c>
          <w:tcPr>
            <w:tcW w:w="636" w:type="dxa"/>
            <w:tcBorders>
              <w:bottom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6"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组织实施</w:t>
            </w:r>
          </w:p>
          <w:p>
            <w:pPr>
              <w:spacing w:line="0" w:lineRule="atLeast"/>
              <w:jc w:val="center"/>
              <w:rPr>
                <w:rFonts w:ascii="宋体" w:hAnsi="宋体" w:cs="宋体"/>
                <w:color w:val="auto"/>
                <w:kern w:val="0"/>
                <w:sz w:val="22"/>
              </w:rPr>
            </w:pPr>
            <w:r>
              <w:rPr>
                <w:rFonts w:hint="eastAsia" w:ascii="宋体" w:hAnsi="宋体" w:cs="宋体"/>
                <w:color w:val="auto"/>
                <w:kern w:val="0"/>
                <w:sz w:val="22"/>
              </w:rPr>
              <w:t>　</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管理制度</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健全性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项目实施单位的财务和业务管理制度是否健全，用以反映和考核财务和业务管理制度对项目顺利实施的保障情况。</w:t>
            </w:r>
          </w:p>
        </w:tc>
        <w:tc>
          <w:tcPr>
            <w:tcW w:w="1002" w:type="dxa"/>
            <w:tcBorders>
              <w:left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c>
          <w:tcPr>
            <w:tcW w:w="636" w:type="dxa"/>
            <w:tcBorders>
              <w:bottom w:val="single" w:color="auto" w:sz="4" w:space="0"/>
            </w:tcBorders>
            <w:shd w:val="clear" w:color="000000" w:fill="FFFFFF"/>
          </w:tcPr>
          <w:p>
            <w:pPr>
              <w:spacing w:line="600" w:lineRule="auto"/>
              <w:jc w:val="center"/>
              <w:rPr>
                <w:rFonts w:hint="eastAsia" w:eastAsia="仿宋_GB2312"/>
                <w:color w:val="auto"/>
                <w:lang w:val="en-US" w:eastAsia="zh-CN"/>
              </w:rPr>
            </w:pPr>
            <w:r>
              <w:rPr>
                <w:rFonts w:hint="eastAsia"/>
                <w:color w:val="auto"/>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7"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制度执行</w:t>
            </w:r>
          </w:p>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有效性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项目实施是否符合相关管理规定，用以反映和考核相关管理制度的有效执行情况。</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4</w:t>
            </w:r>
          </w:p>
        </w:tc>
        <w:tc>
          <w:tcPr>
            <w:tcW w:w="636" w:type="dxa"/>
            <w:tcBorders>
              <w:bottom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6" w:hRule="atLeast"/>
          <w:jc w:val="center"/>
        </w:trPr>
        <w:tc>
          <w:tcPr>
            <w:tcW w:w="757"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w:t>
            </w:r>
          </w:p>
        </w:tc>
        <w:tc>
          <w:tcPr>
            <w:tcW w:w="130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产出数量</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实际完成率</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项目实施的实际产出数与计划产出数的比率，用以反映和考核项目产出数量目标的实现程度。</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636"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4"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产出质量</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质量达标率</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项目完成的质量达标产出数与实际产出数的比率，用以反映和考核项目产出质量目标的实现程度。</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636"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09" w:hRule="atLeast"/>
          <w:jc w:val="center"/>
        </w:trPr>
        <w:tc>
          <w:tcPr>
            <w:tcW w:w="757" w:type="dxa"/>
            <w:vMerge w:val="continue"/>
            <w:shd w:val="clear" w:color="auto" w:fill="FFFFFF"/>
            <w:vAlign w:val="center"/>
          </w:tcPr>
          <w:p>
            <w:pPr>
              <w:spacing w:line="0" w:lineRule="atLeast"/>
              <w:jc w:val="center"/>
              <w:rPr>
                <w:rFonts w:ascii="宋体" w:hAnsi="宋体" w:cs="宋体"/>
                <w:color w:val="auto"/>
                <w:kern w:val="0"/>
                <w:sz w:val="22"/>
              </w:rPr>
            </w:pPr>
          </w:p>
        </w:tc>
        <w:tc>
          <w:tcPr>
            <w:tcW w:w="1308" w:type="dxa"/>
            <w:shd w:val="clear" w:color="auto" w:fill="FFFFFF"/>
            <w:vAlign w:val="center"/>
          </w:tcPr>
          <w:p>
            <w:pPr>
              <w:spacing w:line="0" w:lineRule="atLeast"/>
              <w:jc w:val="center"/>
              <w:rPr>
                <w:rFonts w:ascii="宋体" w:hAnsi="宋体" w:cs="宋体"/>
                <w:color w:val="auto"/>
                <w:kern w:val="0"/>
                <w:sz w:val="22"/>
              </w:rPr>
            </w:pPr>
            <w:r>
              <w:rPr>
                <w:rFonts w:hint="eastAsia" w:ascii="宋体" w:hAnsi="宋体" w:cs="宋体"/>
                <w:color w:val="auto"/>
                <w:kern w:val="0"/>
                <w:sz w:val="22"/>
              </w:rPr>
              <w:t>产出时效</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完成及时性</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项目实际完成时间与计划完成时间的比较，用以反映和考核项目产出时效目标的实现程度。</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636"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6"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产出成本</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成本节约率</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完成项目计划工作目标的实际节约成本与计划成本的比率，用以反映和考核项目的成本节约程度。</w:t>
            </w:r>
          </w:p>
        </w:tc>
        <w:tc>
          <w:tcPr>
            <w:tcW w:w="1002"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636" w:type="dxa"/>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757"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效益　</w:t>
            </w:r>
          </w:p>
        </w:tc>
        <w:tc>
          <w:tcPr>
            <w:tcW w:w="1308" w:type="dxa"/>
            <w:vMerge w:val="restart"/>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项目效益　</w:t>
            </w: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实施效益</w:t>
            </w:r>
          </w:p>
        </w:tc>
        <w:tc>
          <w:tcPr>
            <w:tcW w:w="3978"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项目实施所产生的效益。</w:t>
            </w:r>
          </w:p>
        </w:tc>
        <w:tc>
          <w:tcPr>
            <w:tcW w:w="1002" w:type="dxa"/>
            <w:tcBorders>
              <w:left w:val="single" w:color="auto" w:sz="4" w:space="0"/>
            </w:tcBorders>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636" w:type="dxa"/>
            <w:shd w:val="clear" w:color="auto"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0" w:hRule="atLeast"/>
          <w:jc w:val="center"/>
        </w:trPr>
        <w:tc>
          <w:tcPr>
            <w:tcW w:w="757"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08" w:type="dxa"/>
            <w:vMerge w:val="continue"/>
            <w:shd w:val="clear" w:color="auto" w:fill="FFFFFF"/>
            <w:vAlign w:val="center"/>
          </w:tcPr>
          <w:p>
            <w:pPr>
              <w:widowControl/>
              <w:spacing w:line="0" w:lineRule="atLeast"/>
              <w:jc w:val="center"/>
              <w:rPr>
                <w:rFonts w:ascii="宋体" w:hAnsi="宋体" w:cs="宋体"/>
                <w:color w:val="auto"/>
                <w:kern w:val="0"/>
                <w:sz w:val="22"/>
              </w:rPr>
            </w:pPr>
          </w:p>
        </w:tc>
        <w:tc>
          <w:tcPr>
            <w:tcW w:w="1350" w:type="dxa"/>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满意度</w:t>
            </w:r>
          </w:p>
        </w:tc>
        <w:tc>
          <w:tcPr>
            <w:tcW w:w="3978" w:type="dxa"/>
            <w:tcBorders>
              <w:right w:val="single" w:color="auto" w:sz="4" w:space="0"/>
            </w:tcBorders>
            <w:shd w:val="clear" w:color="000000" w:fill="FFFFFF"/>
            <w:vAlign w:val="center"/>
          </w:tcPr>
          <w:p>
            <w:pPr>
              <w:widowControl/>
              <w:spacing w:line="0" w:lineRule="atLeast"/>
              <w:jc w:val="center"/>
              <w:rPr>
                <w:rFonts w:ascii="宋体" w:hAnsi="宋体" w:cs="宋体"/>
                <w:color w:val="auto"/>
                <w:kern w:val="0"/>
                <w:sz w:val="22"/>
              </w:rPr>
            </w:pPr>
            <w:r>
              <w:rPr>
                <w:rFonts w:hint="eastAsia" w:ascii="宋体" w:hAnsi="宋体" w:cs="宋体"/>
                <w:color w:val="auto"/>
                <w:kern w:val="0"/>
                <w:sz w:val="22"/>
              </w:rPr>
              <w:t>社会公众或服务对象对项目实施效果的满意程度。</w:t>
            </w:r>
          </w:p>
        </w:tc>
        <w:tc>
          <w:tcPr>
            <w:tcW w:w="1002" w:type="dxa"/>
            <w:tcBorders>
              <w:left w:val="single" w:color="auto" w:sz="4" w:space="0"/>
            </w:tcBorders>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c>
          <w:tcPr>
            <w:tcW w:w="636" w:type="dxa"/>
            <w:shd w:val="clear" w:color="000000" w:fill="FFFFFF"/>
          </w:tcPr>
          <w:p>
            <w:pPr>
              <w:spacing w:line="600" w:lineRule="auto"/>
              <w:jc w:val="center"/>
              <w:rPr>
                <w:rFonts w:hint="default" w:eastAsia="仿宋_GB2312"/>
                <w:color w:val="auto"/>
                <w:lang w:val="en-US" w:eastAsia="zh-CN"/>
              </w:rPr>
            </w:pPr>
            <w:r>
              <w:rPr>
                <w:rFonts w:hint="eastAsia"/>
                <w:color w:val="auto"/>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2" w:hRule="atLeast"/>
          <w:jc w:val="center"/>
        </w:trPr>
        <w:tc>
          <w:tcPr>
            <w:tcW w:w="3415" w:type="dxa"/>
            <w:gridSpan w:val="3"/>
            <w:tcBorders>
              <w:right w:val="single" w:color="auto" w:sz="4" w:space="0"/>
            </w:tcBorders>
            <w:shd w:val="clear" w:color="auto" w:fill="FFFFFF"/>
            <w:vAlign w:val="center"/>
          </w:tcPr>
          <w:p>
            <w:pPr>
              <w:widowControl/>
              <w:spacing w:line="0" w:lineRule="atLeast"/>
              <w:jc w:val="center"/>
              <w:rPr>
                <w:rFonts w:ascii="宋体" w:hAnsi="宋体" w:cs="宋体"/>
                <w:color w:val="auto"/>
                <w:kern w:val="0"/>
                <w:sz w:val="22"/>
              </w:rPr>
            </w:pPr>
            <w:r>
              <w:rPr>
                <w:rFonts w:hint="eastAsia" w:ascii="宋体" w:hAnsi="宋体" w:cs="宋体"/>
                <w:b/>
                <w:bCs/>
                <w:color w:val="auto"/>
                <w:kern w:val="0"/>
                <w:sz w:val="22"/>
              </w:rPr>
              <w:t>总分</w:t>
            </w:r>
          </w:p>
        </w:tc>
        <w:tc>
          <w:tcPr>
            <w:tcW w:w="3978" w:type="dxa"/>
            <w:tcBorders>
              <w:right w:val="single" w:color="auto" w:sz="4" w:space="0"/>
            </w:tcBorders>
            <w:shd w:val="clear" w:color="auto" w:fill="FFFFFF"/>
          </w:tcPr>
          <w:p>
            <w:pPr>
              <w:widowControl/>
              <w:spacing w:line="0" w:lineRule="atLeast"/>
              <w:jc w:val="center"/>
              <w:rPr>
                <w:rFonts w:ascii="宋体" w:hAnsi="宋体" w:cs="宋体"/>
                <w:color w:val="auto"/>
                <w:kern w:val="0"/>
                <w:sz w:val="22"/>
              </w:rPr>
            </w:pPr>
          </w:p>
        </w:tc>
        <w:tc>
          <w:tcPr>
            <w:tcW w:w="1002" w:type="dxa"/>
            <w:tcBorders>
              <w:left w:val="single" w:color="auto" w:sz="4" w:space="0"/>
            </w:tcBorders>
            <w:shd w:val="clear" w:color="auto" w:fill="FFFFFF"/>
            <w:vAlign w:val="center"/>
          </w:tcPr>
          <w:p>
            <w:pPr>
              <w:widowControl/>
              <w:spacing w:line="0" w:lineRule="atLeast"/>
              <w:jc w:val="center"/>
              <w:rPr>
                <w:rFonts w:hint="default" w:ascii="宋体" w:hAnsi="宋体" w:eastAsia="仿宋_GB2312" w:cs="宋体"/>
                <w:color w:val="auto"/>
                <w:kern w:val="0"/>
                <w:sz w:val="22"/>
                <w:lang w:val="en-US" w:eastAsia="zh-CN"/>
              </w:rPr>
            </w:pPr>
            <w:r>
              <w:rPr>
                <w:rFonts w:hint="eastAsia" w:ascii="宋体" w:hAnsi="宋体" w:cs="宋体"/>
                <w:color w:val="auto"/>
                <w:kern w:val="0"/>
                <w:sz w:val="22"/>
                <w:lang w:val="en-US" w:eastAsia="zh-CN"/>
              </w:rPr>
              <w:t>100</w:t>
            </w:r>
          </w:p>
        </w:tc>
        <w:tc>
          <w:tcPr>
            <w:tcW w:w="636" w:type="dxa"/>
            <w:shd w:val="clear" w:color="auto" w:fill="FFFFFF"/>
            <w:vAlign w:val="center"/>
          </w:tcPr>
          <w:p>
            <w:pPr>
              <w:widowControl/>
              <w:spacing w:line="0" w:lineRule="atLeast"/>
              <w:jc w:val="center"/>
              <w:rPr>
                <w:rFonts w:hint="default" w:ascii="宋体" w:hAnsi="宋体" w:eastAsia="仿宋_GB2312" w:cs="宋体"/>
                <w:color w:val="auto"/>
                <w:kern w:val="0"/>
                <w:sz w:val="22"/>
                <w:lang w:val="en-US" w:eastAsia="zh-CN"/>
              </w:rPr>
            </w:pPr>
            <w:r>
              <w:rPr>
                <w:rFonts w:hint="eastAsia" w:ascii="宋体" w:hAnsi="宋体" w:cs="宋体"/>
                <w:color w:val="auto"/>
                <w:kern w:val="0"/>
                <w:sz w:val="22"/>
                <w:lang w:val="en-US" w:eastAsia="zh-CN"/>
              </w:rPr>
              <w:t>98</w:t>
            </w:r>
          </w:p>
        </w:tc>
      </w:tr>
    </w:tbl>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评价方法</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（一）成本效益分析法。是指将投入与产出、效益进行关联性分析的方法。</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（二）比较法。是指将实施情况与绩效目标、历史情况、不同部门和地区同类支出情况进行比较的方法。</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pacing w:val="17"/>
          <w:sz w:val="32"/>
          <w:szCs w:val="32"/>
        </w:rPr>
      </w:pP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三</w:t>
      </w:r>
      <w:r>
        <w:rPr>
          <w:rFonts w:hint="default" w:ascii="Times New Roman" w:hAnsi="Times New Roman" w:eastAsia="方正仿宋_GBK" w:cs="Times New Roman"/>
          <w:bCs/>
          <w:color w:val="auto"/>
          <w:sz w:val="32"/>
          <w:szCs w:val="32"/>
        </w:rPr>
        <w:t>）公众评判法。是指通过专家评估、公众问卷及抽样调查等方式进行评判的方法。</w:t>
      </w:r>
    </w:p>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17"/>
          <w:sz w:val="32"/>
          <w:szCs w:val="32"/>
        </w:rPr>
        <w:t>本次评价指标中，既有定性指标又有定量指标，各类指标因考核内容不同和客观标准不同存在较大差异，因此核定具体指标时采用了不同方法，具体评价方法如下：</w:t>
      </w:r>
      <w:r>
        <w:rPr>
          <w:rFonts w:hint="default" w:ascii="Times New Roman" w:hAnsi="Times New Roman" w:eastAsia="方正仿宋_GBK" w:cs="Times New Roman"/>
          <w:color w:val="auto"/>
          <w:spacing w:val="17"/>
          <w:sz w:val="32"/>
          <w:szCs w:val="32"/>
          <w:lang w:val="en-US" w:eastAsia="zh-CN"/>
        </w:rPr>
        <w:t>根据实际完成情况进行评价。</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评价标准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（一）计划标准。指以预先制定的目标、计划、预算、定额等作为评价标准。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（二）行业标准。指参照国家公布的行业指标数据制定的评价标准。</w:t>
      </w:r>
    </w:p>
    <w:p>
      <w:pPr>
        <w:pageBreakBefore w:val="0"/>
        <w:kinsoku/>
        <w:wordWrap/>
        <w:overflowPunct/>
        <w:topLinePunct w:val="0"/>
        <w:autoSpaceDE/>
        <w:autoSpaceDN/>
        <w:bidi w:val="0"/>
        <w:adjustRightInd/>
        <w:snapToGrid/>
        <w:spacing w:line="560" w:lineRule="exact"/>
        <w:ind w:firstLine="708"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color w:val="auto"/>
          <w:spacing w:val="17"/>
          <w:sz w:val="32"/>
          <w:szCs w:val="32"/>
        </w:rPr>
        <w:t>本次评价主要采用了</w:t>
      </w:r>
      <w:r>
        <w:rPr>
          <w:rFonts w:hint="default" w:ascii="Times New Roman" w:hAnsi="Times New Roman" w:eastAsia="方正仿宋_GBK" w:cs="Times New Roman"/>
          <w:bCs/>
          <w:color w:val="auto"/>
          <w:sz w:val="32"/>
          <w:szCs w:val="32"/>
        </w:rPr>
        <w:t>计划标准</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行业标准</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历史标准</w:t>
      </w:r>
      <w:r>
        <w:rPr>
          <w:rFonts w:hint="default" w:ascii="Times New Roman" w:hAnsi="Times New Roman" w:eastAsia="方正仿宋_GBK" w:cs="Times New Roman"/>
          <w:bCs/>
          <w:color w:val="auto"/>
          <w:sz w:val="32"/>
          <w:szCs w:val="32"/>
          <w:lang w:val="en-US" w:eastAsia="zh-CN"/>
        </w:rPr>
        <w:t>相结合</w:t>
      </w:r>
      <w:r>
        <w:rPr>
          <w:rFonts w:hint="default" w:ascii="Times New Roman" w:hAnsi="Times New Roman" w:eastAsia="方正仿宋_GBK" w:cs="Times New Roman"/>
          <w:color w:val="auto"/>
          <w:spacing w:val="17"/>
          <w:sz w:val="32"/>
          <w:szCs w:val="32"/>
        </w:rPr>
        <w:t>。</w:t>
      </w:r>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rPr>
      </w:pPr>
      <w:bookmarkStart w:id="6" w:name="_Toc68703833"/>
      <w:r>
        <w:rPr>
          <w:rFonts w:hint="default" w:ascii="Times New Roman" w:hAnsi="Times New Roman" w:eastAsia="方正仿宋_GBK" w:cs="Times New Roman"/>
          <w:b w:val="0"/>
          <w:bCs w:val="0"/>
          <w:color w:val="auto"/>
          <w:sz w:val="32"/>
          <w:szCs w:val="32"/>
        </w:rPr>
        <w:t>（三）绩效评价工作过程。</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Cs/>
          <w:color w:val="auto"/>
          <w:sz w:val="32"/>
          <w:szCs w:val="32"/>
        </w:rPr>
      </w:pPr>
      <w:bookmarkStart w:id="7" w:name="_Toc68703834"/>
      <w:r>
        <w:rPr>
          <w:rFonts w:hint="default" w:ascii="Times New Roman" w:hAnsi="Times New Roman" w:eastAsia="方正仿宋_GBK" w:cs="Times New Roman"/>
          <w:bCs/>
          <w:color w:val="auto"/>
          <w:sz w:val="32"/>
          <w:szCs w:val="32"/>
          <w:lang w:val="en-US" w:eastAsia="zh-CN"/>
        </w:rPr>
        <w:t>1.</w:t>
      </w:r>
      <w:r>
        <w:rPr>
          <w:rFonts w:hint="default" w:ascii="Times New Roman" w:hAnsi="Times New Roman" w:eastAsia="方正仿宋_GBK" w:cs="Times New Roman"/>
          <w:bCs/>
          <w:color w:val="auto"/>
          <w:sz w:val="32"/>
          <w:szCs w:val="32"/>
        </w:rPr>
        <w:t>前期准备。首先成立评价工作组，开展前期调研；其次明确项目绩效目标，设计绩效评价指标体系并确定绩效评价方法；接着确定现场和非现场评价范围，设计资料清单；最后制定评价实施方案并进行论证。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2.</w:t>
      </w:r>
      <w:r>
        <w:rPr>
          <w:rFonts w:hint="default" w:ascii="Times New Roman" w:hAnsi="Times New Roman" w:eastAsia="方正仿宋_GBK" w:cs="Times New Roman"/>
          <w:bCs/>
          <w:color w:val="auto"/>
          <w:sz w:val="32"/>
          <w:szCs w:val="32"/>
        </w:rPr>
        <w:t>组织实施。制定绩效评价工作方案，具体包括项目概况、评价思路、方法手段、组织实施、进度安排等。收集项目立项依据、相关会议纪要、实施方案、财政资金分配方案、支付管理情况等相关评价资料并进行梳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lang w:val="en-US" w:eastAsia="zh-CN"/>
        </w:rPr>
        <w:t>3.</w:t>
      </w:r>
      <w:r>
        <w:rPr>
          <w:rFonts w:hint="default" w:ascii="Times New Roman" w:hAnsi="Times New Roman" w:eastAsia="方正仿宋_GBK" w:cs="Times New Roman"/>
          <w:bCs/>
          <w:color w:val="auto"/>
          <w:sz w:val="32"/>
          <w:szCs w:val="32"/>
        </w:rPr>
        <w:t>分析评价。根据收集梳理的资料围绕项目立项、资金落实、业务管理、财务管理、项目产出、项目效益等内容，对照已确定的绩效评价指标进行详细全面的分析评价，逐项打分并形成绩效评价最终结果。</w:t>
      </w: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三、综合评价情况及评价结论</w:t>
      </w:r>
      <w:bookmarkEnd w:id="7"/>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lang w:eastAsia="zh-CN"/>
        </w:rPr>
      </w:pPr>
      <w:bookmarkStart w:id="8" w:name="_Toc68703835"/>
      <w:r>
        <w:rPr>
          <w:rFonts w:hint="default" w:ascii="Times New Roman" w:hAnsi="Times New Roman" w:eastAsia="方正仿宋_GBK" w:cs="Times New Roman"/>
          <w:b w:val="0"/>
          <w:bCs w:val="0"/>
          <w:color w:val="auto"/>
          <w:sz w:val="32"/>
          <w:szCs w:val="32"/>
        </w:rPr>
        <w:t>（一）综合评价情况</w:t>
      </w:r>
      <w:bookmarkEnd w:id="8"/>
      <w:r>
        <w:rPr>
          <w:rFonts w:hint="default" w:ascii="Times New Roman" w:hAnsi="Times New Roman" w:eastAsia="方正仿宋_GBK" w:cs="Times New Roman"/>
          <w:b w:val="0"/>
          <w:bCs w:val="0"/>
          <w:color w:val="auto"/>
          <w:sz w:val="32"/>
          <w:szCs w:val="32"/>
          <w:lang w:eastAsia="zh-CN"/>
        </w:rPr>
        <w:t>及评价结论</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8"/>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rPr>
        <w:t>综合评价情况</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kern w:val="28"/>
          <w:sz w:val="32"/>
          <w:szCs w:val="32"/>
          <w:lang w:val="en-US" w:eastAsia="zh-CN" w:bidi="ar-SA"/>
        </w:rPr>
        <w:t>项目总体组织规范，在项目实施过程做到认真履职，监督到位。按照相关制度的要求，项目负责人对项目绩效监控执行情况进行跟踪监督，有效完成了本项目的工作目标，确保资金使用安全和最大效益的发挥，保障项目如期按要求完成。规范了项目档案资料的整理。项目的实施达到项目预期效果。</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本项目严格按照</w:t>
      </w:r>
      <w:r>
        <w:rPr>
          <w:rFonts w:hint="default" w:ascii="Times New Roman" w:hAnsi="Times New Roman" w:eastAsia="方正仿宋_GBK" w:cs="Times New Roman"/>
          <w:bCs/>
          <w:color w:val="auto"/>
          <w:kern w:val="0"/>
          <w:sz w:val="32"/>
          <w:szCs w:val="32"/>
        </w:rPr>
        <w:t>科学公正、统筹兼顾、激励约束、公开透明的</w:t>
      </w:r>
      <w:r>
        <w:rPr>
          <w:rFonts w:hint="default" w:ascii="Times New Roman" w:hAnsi="Times New Roman" w:eastAsia="方正仿宋_GBK" w:cs="Times New Roman"/>
          <w:color w:val="auto"/>
          <w:sz w:val="32"/>
          <w:szCs w:val="32"/>
        </w:rPr>
        <w:t>绩效评价原则，采用</w:t>
      </w:r>
      <w:r>
        <w:rPr>
          <w:rFonts w:hint="default" w:ascii="Times New Roman" w:hAnsi="Times New Roman" w:eastAsia="方正仿宋_GBK" w:cs="Times New Roman"/>
          <w:color w:val="auto"/>
          <w:sz w:val="32"/>
          <w:szCs w:val="32"/>
          <w:lang w:val="en-US" w:eastAsia="zh-CN"/>
        </w:rPr>
        <w:t>比较法</w:t>
      </w:r>
      <w:r>
        <w:rPr>
          <w:rFonts w:hint="default" w:ascii="Times New Roman" w:hAnsi="Times New Roman" w:eastAsia="方正仿宋_GBK" w:cs="Times New Roman"/>
          <w:color w:val="auto"/>
          <w:sz w:val="32"/>
          <w:szCs w:val="32"/>
        </w:rPr>
        <w:t>，坚持</w:t>
      </w:r>
      <w:r>
        <w:rPr>
          <w:rFonts w:hint="default" w:ascii="Times New Roman" w:hAnsi="Times New Roman" w:eastAsia="方正仿宋_GBK" w:cs="Times New Roman"/>
          <w:color w:val="auto"/>
          <w:sz w:val="32"/>
          <w:szCs w:val="32"/>
          <w:lang w:val="en-US" w:eastAsia="zh-CN"/>
        </w:rPr>
        <w:t>计划标准、行业标准</w:t>
      </w:r>
      <w:r>
        <w:rPr>
          <w:rFonts w:hint="default" w:ascii="Times New Roman" w:hAnsi="Times New Roman" w:eastAsia="方正仿宋_GBK" w:cs="Times New Roman"/>
          <w:color w:val="auto"/>
          <w:sz w:val="32"/>
          <w:szCs w:val="32"/>
        </w:rPr>
        <w:t>对本项目的立项、绩效目标、资金投入、资金管理、组织实施、产出数量、产出质量、产出时效、产出成本、项目效益进行了综合评价。</w:t>
      </w:r>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rPr>
      </w:pPr>
      <w:bookmarkStart w:id="9" w:name="_Toc68703836"/>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评价结论</w:t>
      </w:r>
      <w:bookmarkEnd w:id="9"/>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rPr>
        <w:t>运用绩效评价组制定的评价指标体系以及财政部《项目支出绩效评价管理办法》（财预〔2020〕10号）文件的评分标准，通过数据采集、问卷调查及访谈等方式，对本项目进行客观评价，最终评分结果：</w:t>
      </w:r>
      <w:r>
        <w:rPr>
          <w:rFonts w:hint="default" w:ascii="Times New Roman" w:hAnsi="Times New Roman" w:eastAsia="方正仿宋_GBK" w:cs="Times New Roman"/>
          <w:b w:val="0"/>
          <w:bCs w:val="0"/>
          <w:color w:val="auto"/>
          <w:sz w:val="32"/>
          <w:szCs w:val="32"/>
          <w:highlight w:val="none"/>
        </w:rPr>
        <w:t>总得分为</w:t>
      </w:r>
      <w:r>
        <w:rPr>
          <w:rFonts w:hint="default" w:ascii="Times New Roman" w:hAnsi="Times New Roman" w:eastAsia="方正仿宋_GBK" w:cs="Times New Roman"/>
          <w:b w:val="0"/>
          <w:bCs w:val="0"/>
          <w:color w:val="auto"/>
          <w:sz w:val="32"/>
          <w:szCs w:val="32"/>
          <w:highlight w:val="none"/>
          <w:lang w:val="en-US" w:eastAsia="zh-CN"/>
        </w:rPr>
        <w:t>98</w:t>
      </w:r>
      <w:r>
        <w:rPr>
          <w:rFonts w:hint="default" w:ascii="Times New Roman" w:hAnsi="Times New Roman" w:eastAsia="方正仿宋_GBK" w:cs="Times New Roman"/>
          <w:b w:val="0"/>
          <w:bCs w:val="0"/>
          <w:color w:val="auto"/>
          <w:sz w:val="32"/>
          <w:szCs w:val="32"/>
          <w:highlight w:val="none"/>
        </w:rPr>
        <w:t xml:space="preserve">分，属于“优”。其中，项目决策类指标权重为20分，得分为 </w:t>
      </w:r>
      <w:r>
        <w:rPr>
          <w:rFonts w:hint="default" w:ascii="Times New Roman" w:hAnsi="Times New Roman" w:eastAsia="方正仿宋_GBK"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rPr>
        <w:t xml:space="preserve">分，得分率为 </w:t>
      </w:r>
      <w:r>
        <w:rPr>
          <w:rFonts w:hint="default" w:ascii="Times New Roman" w:hAnsi="Times New Roman" w:eastAsia="方正仿宋_GBK" w:cs="Times New Roman"/>
          <w:b w:val="0"/>
          <w:bCs w:val="0"/>
          <w:color w:val="auto"/>
          <w:sz w:val="32"/>
          <w:szCs w:val="32"/>
          <w:highlight w:val="none"/>
          <w:lang w:val="en-US" w:eastAsia="zh-CN"/>
        </w:rPr>
        <w:t>100</w:t>
      </w:r>
      <w:r>
        <w:rPr>
          <w:rFonts w:hint="default" w:ascii="Times New Roman" w:hAnsi="Times New Roman" w:eastAsia="方正仿宋_GBK" w:cs="Times New Roman"/>
          <w:b w:val="0"/>
          <w:bCs w:val="0"/>
          <w:color w:val="auto"/>
          <w:sz w:val="32"/>
          <w:szCs w:val="32"/>
          <w:highlight w:val="none"/>
        </w:rPr>
        <w:t>%。项目过程类指标权重为20分，得分为</w:t>
      </w:r>
      <w:r>
        <w:rPr>
          <w:rFonts w:hint="default" w:ascii="Times New Roman" w:hAnsi="Times New Roman" w:eastAsia="方正仿宋_GBK" w:cs="Times New Roman"/>
          <w:b w:val="0"/>
          <w:bCs w:val="0"/>
          <w:color w:val="auto"/>
          <w:sz w:val="32"/>
          <w:szCs w:val="32"/>
          <w:highlight w:val="none"/>
          <w:lang w:val="en-US" w:eastAsia="zh-CN"/>
        </w:rPr>
        <w:t>18</w:t>
      </w:r>
      <w:r>
        <w:rPr>
          <w:rFonts w:hint="default" w:ascii="Times New Roman" w:hAnsi="Times New Roman" w:eastAsia="方正仿宋_GBK" w:cs="Times New Roman"/>
          <w:b w:val="0"/>
          <w:bCs w:val="0"/>
          <w:color w:val="auto"/>
          <w:sz w:val="32"/>
          <w:szCs w:val="32"/>
          <w:highlight w:val="none"/>
        </w:rPr>
        <w:t>分，得分率为</w:t>
      </w:r>
      <w:r>
        <w:rPr>
          <w:rFonts w:hint="default" w:ascii="Times New Roman" w:hAnsi="Times New Roman" w:eastAsia="方正仿宋_GBK" w:cs="Times New Roman"/>
          <w:b w:val="0"/>
          <w:bCs w:val="0"/>
          <w:color w:val="auto"/>
          <w:sz w:val="32"/>
          <w:szCs w:val="32"/>
          <w:highlight w:val="none"/>
          <w:lang w:val="en-US" w:eastAsia="zh-CN"/>
        </w:rPr>
        <w:t>90</w:t>
      </w:r>
      <w:r>
        <w:rPr>
          <w:rFonts w:hint="default" w:ascii="Times New Roman" w:hAnsi="Times New Roman" w:eastAsia="方正仿宋_GBK" w:cs="Times New Roman"/>
          <w:b w:val="0"/>
          <w:bCs w:val="0"/>
          <w:color w:val="auto"/>
          <w:sz w:val="32"/>
          <w:szCs w:val="32"/>
          <w:highlight w:val="none"/>
        </w:rPr>
        <w:t>%。项目产出类指标权重为40分，得分为</w:t>
      </w:r>
      <w:r>
        <w:rPr>
          <w:rFonts w:hint="default" w:ascii="Times New Roman" w:hAnsi="Times New Roman" w:eastAsia="方正仿宋_GBK" w:cs="Times New Roman"/>
          <w:b w:val="0"/>
          <w:bCs w:val="0"/>
          <w:color w:val="auto"/>
          <w:sz w:val="32"/>
          <w:szCs w:val="32"/>
          <w:highlight w:val="none"/>
          <w:lang w:val="en-US" w:eastAsia="zh-CN"/>
        </w:rPr>
        <w:t>40</w:t>
      </w:r>
      <w:r>
        <w:rPr>
          <w:rFonts w:hint="default" w:ascii="Times New Roman" w:hAnsi="Times New Roman" w:eastAsia="方正仿宋_GBK" w:cs="Times New Roman"/>
          <w:b w:val="0"/>
          <w:bCs w:val="0"/>
          <w:color w:val="auto"/>
          <w:sz w:val="32"/>
          <w:szCs w:val="32"/>
          <w:highlight w:val="none"/>
        </w:rPr>
        <w:t>分，得分率为</w:t>
      </w:r>
      <w:r>
        <w:rPr>
          <w:rFonts w:hint="default" w:ascii="Times New Roman" w:hAnsi="Times New Roman" w:eastAsia="方正仿宋_GBK" w:cs="Times New Roman"/>
          <w:b w:val="0"/>
          <w:bCs w:val="0"/>
          <w:color w:val="auto"/>
          <w:sz w:val="32"/>
          <w:szCs w:val="32"/>
          <w:highlight w:val="none"/>
          <w:lang w:val="en-US" w:eastAsia="zh-CN"/>
        </w:rPr>
        <w:t>100</w:t>
      </w:r>
      <w:r>
        <w:rPr>
          <w:rFonts w:hint="default" w:ascii="Times New Roman" w:hAnsi="Times New Roman" w:eastAsia="方正仿宋_GBK" w:cs="Times New Roman"/>
          <w:b w:val="0"/>
          <w:bCs w:val="0"/>
          <w:color w:val="auto"/>
          <w:sz w:val="32"/>
          <w:szCs w:val="32"/>
          <w:highlight w:val="none"/>
        </w:rPr>
        <w:t>%。项目效益类指标权重为20分，得分为</w:t>
      </w:r>
      <w:r>
        <w:rPr>
          <w:rFonts w:hint="default" w:ascii="Times New Roman" w:hAnsi="Times New Roman" w:eastAsia="方正仿宋_GBK" w:cs="Times New Roman"/>
          <w:b w:val="0"/>
          <w:bCs w:val="0"/>
          <w:color w:val="auto"/>
          <w:sz w:val="32"/>
          <w:szCs w:val="32"/>
          <w:highlight w:val="none"/>
          <w:lang w:val="en-US" w:eastAsia="zh-CN"/>
        </w:rPr>
        <w:t>20</w:t>
      </w:r>
      <w:r>
        <w:rPr>
          <w:rFonts w:hint="default" w:ascii="Times New Roman" w:hAnsi="Times New Roman" w:eastAsia="方正仿宋_GBK" w:cs="Times New Roman"/>
          <w:b w:val="0"/>
          <w:bCs w:val="0"/>
          <w:color w:val="auto"/>
          <w:sz w:val="32"/>
          <w:szCs w:val="32"/>
          <w:highlight w:val="none"/>
        </w:rPr>
        <w:t>分，得分率为</w:t>
      </w:r>
      <w:r>
        <w:rPr>
          <w:rFonts w:hint="default" w:ascii="Times New Roman" w:hAnsi="Times New Roman" w:eastAsia="方正仿宋_GBK" w:cs="Times New Roman"/>
          <w:b w:val="0"/>
          <w:bCs w:val="0"/>
          <w:color w:val="auto"/>
          <w:sz w:val="32"/>
          <w:szCs w:val="32"/>
          <w:highlight w:val="none"/>
          <w:lang w:val="en-US" w:eastAsia="zh-CN"/>
        </w:rPr>
        <w:t>100</w:t>
      </w:r>
      <w:r>
        <w:rPr>
          <w:rFonts w:hint="default" w:ascii="Times New Roman" w:hAnsi="Times New Roman" w:eastAsia="方正仿宋_GBK" w:cs="Times New Roman"/>
          <w:b w:val="0"/>
          <w:bCs w:val="0"/>
          <w:color w:val="auto"/>
          <w:sz w:val="32"/>
          <w:szCs w:val="32"/>
          <w:highlight w:val="none"/>
        </w:rPr>
        <w:t>%。</w:t>
      </w:r>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二</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eastAsia="zh-CN"/>
        </w:rPr>
        <w:t>相关评分表</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具体打分情况详见：附件1综合评分表</w:t>
      </w:r>
      <w:r>
        <w:rPr>
          <w:rFonts w:hint="default" w:ascii="Times New Roman" w:hAnsi="Times New Roman" w:eastAsia="方正仿宋_GBK" w:cs="Times New Roman"/>
          <w:b w:val="0"/>
          <w:bCs w:val="0"/>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2023年中央农业产业发展资金（畜牧业）</w:t>
      </w:r>
      <w:r>
        <w:rPr>
          <w:rFonts w:hint="default" w:ascii="Times New Roman" w:hAnsi="Times New Roman" w:eastAsia="方正仿宋_GBK" w:cs="Times New Roman"/>
          <w:color w:val="auto"/>
          <w:sz w:val="32"/>
          <w:szCs w:val="32"/>
        </w:rPr>
        <w:t>项目评价得分情况</w:t>
      </w:r>
    </w:p>
    <w:tbl>
      <w:tblPr>
        <w:tblStyle w:val="13"/>
        <w:tblW w:w="7583" w:type="dxa"/>
        <w:jc w:val="center"/>
        <w:tblLayout w:type="fixed"/>
        <w:tblCellMar>
          <w:top w:w="0" w:type="dxa"/>
          <w:left w:w="108" w:type="dxa"/>
          <w:bottom w:w="0" w:type="dxa"/>
          <w:right w:w="108" w:type="dxa"/>
        </w:tblCellMar>
      </w:tblPr>
      <w:tblGrid>
        <w:gridCol w:w="3137"/>
        <w:gridCol w:w="2168"/>
        <w:gridCol w:w="2278"/>
      </w:tblGrid>
      <w:tr>
        <w:tblPrEx>
          <w:tblCellMar>
            <w:top w:w="0" w:type="dxa"/>
            <w:left w:w="108" w:type="dxa"/>
            <w:bottom w:w="0" w:type="dxa"/>
            <w:right w:w="108" w:type="dxa"/>
          </w:tblCellMar>
        </w:tblPrEx>
        <w:trPr>
          <w:trHeight w:val="90" w:hRule="atLeast"/>
          <w:tblHeader/>
          <w:jc w:val="center"/>
        </w:trPr>
        <w:tc>
          <w:tcPr>
            <w:tcW w:w="3137" w:type="dxa"/>
            <w:tcBorders>
              <w:top w:val="single" w:color="auto" w:sz="4" w:space="0"/>
              <w:left w:val="single" w:color="auto" w:sz="4" w:space="0"/>
              <w:bottom w:val="single" w:color="auto" w:sz="4" w:space="0"/>
              <w:right w:val="single" w:color="auto" w:sz="4" w:space="0"/>
            </w:tcBorders>
            <w:shd w:val="clear" w:color="000000" w:fill="BEBEBE" w:themeFill="background1" w:themeFillShade="BF"/>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b/>
                <w:bCs/>
                <w:color w:val="000000"/>
                <w:sz w:val="22"/>
              </w:rPr>
            </w:pPr>
            <w:r>
              <w:rPr>
                <w:rFonts w:hint="eastAsia"/>
                <w:b/>
                <w:bCs/>
                <w:color w:val="000000"/>
                <w:sz w:val="22"/>
              </w:rPr>
              <w:t>一级指标</w:t>
            </w:r>
          </w:p>
        </w:tc>
        <w:tc>
          <w:tcPr>
            <w:tcW w:w="216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b/>
                <w:bCs/>
                <w:color w:val="000000"/>
                <w:sz w:val="22"/>
              </w:rPr>
            </w:pPr>
            <w:r>
              <w:rPr>
                <w:rFonts w:hint="eastAsia"/>
                <w:b/>
                <w:bCs/>
                <w:color w:val="000000"/>
                <w:sz w:val="22"/>
              </w:rPr>
              <w:t>权重分</w:t>
            </w:r>
          </w:p>
        </w:tc>
        <w:tc>
          <w:tcPr>
            <w:tcW w:w="2278" w:type="dxa"/>
            <w:tcBorders>
              <w:top w:val="single" w:color="auto" w:sz="4" w:space="0"/>
              <w:left w:val="nil"/>
              <w:bottom w:val="single" w:color="auto" w:sz="4" w:space="0"/>
              <w:right w:val="single" w:color="auto" w:sz="4" w:space="0"/>
            </w:tcBorders>
            <w:shd w:val="clear" w:color="000000" w:fill="BEBEBE" w:themeFill="background1" w:themeFillShade="BF"/>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b/>
                <w:bCs/>
                <w:color w:val="000000"/>
                <w:sz w:val="22"/>
              </w:rPr>
            </w:pPr>
            <w:r>
              <w:rPr>
                <w:rFonts w:hint="eastAsia"/>
                <w:b/>
                <w:bCs/>
                <w:color w:val="000000"/>
                <w:sz w:val="22"/>
              </w:rPr>
              <w:t>得分</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color w:val="000000"/>
                <w:sz w:val="22"/>
              </w:rPr>
            </w:pPr>
            <w:r>
              <w:rPr>
                <w:rFonts w:hint="eastAsia"/>
                <w:color w:val="000000"/>
                <w:sz w:val="22"/>
              </w:rPr>
              <w:t>项目决策</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eastAsia="仿宋_GB2312"/>
                <w:color w:val="000000"/>
                <w:sz w:val="22"/>
                <w:lang w:val="en-US" w:eastAsia="zh-CN"/>
              </w:rPr>
            </w:pPr>
            <w:r>
              <w:rPr>
                <w:rFonts w:hint="eastAsia"/>
                <w:color w:val="000000"/>
                <w:sz w:val="2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eastAsia="仿宋_GB2312"/>
                <w:color w:val="000000"/>
                <w:sz w:val="22"/>
                <w:lang w:val="en-US" w:eastAsia="zh-CN"/>
              </w:rPr>
            </w:pPr>
            <w:r>
              <w:rPr>
                <w:rFonts w:hint="eastAsia"/>
                <w:color w:val="000000"/>
                <w:sz w:val="22"/>
                <w:lang w:val="en-US" w:eastAsia="zh-CN"/>
              </w:rPr>
              <w:t>20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color w:val="000000"/>
                <w:sz w:val="22"/>
              </w:rPr>
            </w:pPr>
            <w:r>
              <w:rPr>
                <w:rFonts w:hint="eastAsia"/>
                <w:color w:val="000000"/>
                <w:sz w:val="22"/>
              </w:rPr>
              <w:t>项目过程</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eastAsia="仿宋_GB2312"/>
                <w:color w:val="000000"/>
                <w:sz w:val="22"/>
                <w:lang w:val="en-US" w:eastAsia="zh-CN"/>
              </w:rPr>
            </w:pPr>
            <w:r>
              <w:rPr>
                <w:rFonts w:hint="eastAsia"/>
                <w:color w:val="000000"/>
                <w:sz w:val="2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eastAsia="仿宋_GB2312"/>
                <w:color w:val="000000"/>
                <w:sz w:val="22"/>
                <w:lang w:val="en-US" w:eastAsia="zh-CN"/>
              </w:rPr>
            </w:pPr>
            <w:r>
              <w:rPr>
                <w:rFonts w:hint="eastAsia"/>
                <w:color w:val="000000"/>
                <w:sz w:val="22"/>
                <w:lang w:val="en-US" w:eastAsia="zh-CN"/>
              </w:rPr>
              <w:t>18</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color w:val="000000"/>
                <w:sz w:val="22"/>
              </w:rPr>
            </w:pPr>
            <w:r>
              <w:rPr>
                <w:rFonts w:hint="eastAsia"/>
                <w:color w:val="000000"/>
                <w:sz w:val="22"/>
              </w:rPr>
              <w:t>项目产出</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eastAsia="仿宋_GB2312"/>
                <w:color w:val="000000"/>
                <w:sz w:val="22"/>
                <w:lang w:val="en-US" w:eastAsia="zh-CN"/>
              </w:rPr>
            </w:pPr>
            <w:r>
              <w:rPr>
                <w:rFonts w:hint="eastAsia"/>
                <w:color w:val="000000"/>
                <w:sz w:val="22"/>
                <w:lang w:val="en-US" w:eastAsia="zh-CN"/>
              </w:rPr>
              <w:t>40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eastAsia="仿宋_GB2312"/>
                <w:color w:val="000000"/>
                <w:sz w:val="22"/>
                <w:lang w:val="en-US" w:eastAsia="zh-CN"/>
              </w:rPr>
            </w:pPr>
            <w:r>
              <w:rPr>
                <w:rFonts w:hint="eastAsia"/>
                <w:color w:val="000000"/>
                <w:sz w:val="22"/>
                <w:lang w:val="en-US" w:eastAsia="zh-CN"/>
              </w:rPr>
              <w:t>40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color w:val="000000"/>
                <w:sz w:val="22"/>
              </w:rPr>
            </w:pPr>
            <w:r>
              <w:rPr>
                <w:rFonts w:hint="eastAsia"/>
                <w:color w:val="000000"/>
                <w:sz w:val="22"/>
              </w:rPr>
              <w:t>项目效益</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eastAsia="仿宋_GB2312"/>
                <w:color w:val="000000"/>
                <w:sz w:val="22"/>
                <w:lang w:val="en-US" w:eastAsia="zh-CN"/>
              </w:rPr>
            </w:pPr>
            <w:r>
              <w:rPr>
                <w:rFonts w:hint="eastAsia"/>
                <w:color w:val="000000"/>
                <w:sz w:val="22"/>
                <w:lang w:val="en-US" w:eastAsia="zh-CN"/>
              </w:rPr>
              <w:t>20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0" w:firstLineChars="200"/>
              <w:jc w:val="center"/>
              <w:textAlignment w:val="auto"/>
              <w:rPr>
                <w:rFonts w:hint="default" w:eastAsia="仿宋_GB2312"/>
                <w:color w:val="000000"/>
                <w:sz w:val="22"/>
                <w:lang w:val="en-US" w:eastAsia="zh-CN"/>
              </w:rPr>
            </w:pPr>
            <w:r>
              <w:rPr>
                <w:rFonts w:hint="eastAsia"/>
                <w:color w:val="000000"/>
                <w:sz w:val="22"/>
                <w:lang w:val="en-US" w:eastAsia="zh-CN"/>
              </w:rPr>
              <w:t>20</w:t>
            </w:r>
          </w:p>
        </w:tc>
      </w:tr>
      <w:tr>
        <w:tblPrEx>
          <w:tblCellMar>
            <w:top w:w="0" w:type="dxa"/>
            <w:left w:w="108" w:type="dxa"/>
            <w:bottom w:w="0" w:type="dxa"/>
            <w:right w:w="108" w:type="dxa"/>
          </w:tblCellMar>
        </w:tblPrEx>
        <w:trPr>
          <w:trHeight w:val="340" w:hRule="atLeast"/>
          <w:jc w:val="center"/>
        </w:trPr>
        <w:tc>
          <w:tcPr>
            <w:tcW w:w="3137" w:type="dxa"/>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rFonts w:cs="宋体"/>
                <w:b/>
                <w:bCs/>
                <w:color w:val="000000"/>
                <w:sz w:val="22"/>
              </w:rPr>
            </w:pPr>
            <w:r>
              <w:rPr>
                <w:rFonts w:hint="eastAsia" w:cs="宋体"/>
                <w:b/>
                <w:bCs/>
                <w:color w:val="000000"/>
                <w:sz w:val="22"/>
              </w:rPr>
              <w:t>合计</w:t>
            </w:r>
          </w:p>
        </w:tc>
        <w:tc>
          <w:tcPr>
            <w:tcW w:w="216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rFonts w:hint="default" w:eastAsia="仿宋_GB2312"/>
                <w:b/>
                <w:bCs/>
                <w:color w:val="000000"/>
                <w:sz w:val="22"/>
                <w:lang w:val="en-US" w:eastAsia="zh-CN"/>
              </w:rPr>
            </w:pPr>
            <w:r>
              <w:rPr>
                <w:rFonts w:hint="eastAsia"/>
                <w:b/>
                <w:bCs/>
                <w:color w:val="000000"/>
                <w:sz w:val="22"/>
                <w:lang w:val="en-US" w:eastAsia="zh-CN"/>
              </w:rPr>
              <w:t>100</w:t>
            </w:r>
          </w:p>
        </w:tc>
        <w:tc>
          <w:tcPr>
            <w:tcW w:w="2278" w:type="dxa"/>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adjustRightInd/>
              <w:snapToGrid/>
              <w:spacing w:line="560" w:lineRule="exact"/>
              <w:ind w:firstLine="442" w:firstLineChars="200"/>
              <w:jc w:val="center"/>
              <w:textAlignment w:val="auto"/>
              <w:rPr>
                <w:rFonts w:hint="default" w:eastAsia="仿宋_GB2312"/>
                <w:b/>
                <w:bCs/>
                <w:color w:val="000000"/>
                <w:sz w:val="22"/>
                <w:lang w:val="en-US" w:eastAsia="zh-CN"/>
              </w:rPr>
            </w:pPr>
            <w:r>
              <w:rPr>
                <w:rFonts w:hint="eastAsia"/>
                <w:b/>
                <w:bCs/>
                <w:color w:val="000000"/>
                <w:sz w:val="22"/>
                <w:lang w:val="en-US" w:eastAsia="zh-CN"/>
              </w:rPr>
              <w:t>98</w:t>
            </w:r>
          </w:p>
        </w:tc>
      </w:tr>
    </w:tbl>
    <w:p>
      <w:pPr>
        <w:pStyle w:val="12"/>
        <w:pageBreakBefore w:val="0"/>
        <w:kinsoku/>
        <w:wordWrap/>
        <w:overflowPunct/>
        <w:topLinePunct w:val="0"/>
        <w:autoSpaceDE/>
        <w:autoSpaceDN/>
        <w:bidi w:val="0"/>
        <w:adjustRightInd/>
        <w:snapToGrid/>
        <w:spacing w:before="0" w:after="0" w:line="560" w:lineRule="exact"/>
        <w:ind w:firstLine="640" w:firstLineChars="200"/>
        <w:textAlignment w:val="auto"/>
      </w:pP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方正黑体_GBK" w:hAnsi="方正黑体_GBK" w:eastAsia="方正黑体_GBK" w:cs="方正黑体_GBK"/>
          <w:b w:val="0"/>
          <w:bCs w:val="0"/>
          <w:sz w:val="32"/>
          <w:szCs w:val="32"/>
        </w:rPr>
      </w:pPr>
      <w:bookmarkStart w:id="10" w:name="_Toc68703837"/>
      <w:r>
        <w:rPr>
          <w:rFonts w:hint="default" w:ascii="方正黑体_GBK" w:hAnsi="方正黑体_GBK" w:eastAsia="方正黑体_GBK" w:cs="方正黑体_GBK"/>
          <w:b w:val="0"/>
          <w:bCs w:val="0"/>
          <w:sz w:val="32"/>
          <w:szCs w:val="32"/>
        </w:rPr>
        <w:t>四、绩效评价指标分析</w:t>
      </w:r>
      <w:bookmarkEnd w:id="10"/>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rPr>
      </w:pPr>
      <w:bookmarkStart w:id="11" w:name="_Toc68703838"/>
      <w:r>
        <w:rPr>
          <w:rFonts w:hint="default" w:ascii="Times New Roman" w:hAnsi="Times New Roman" w:eastAsia="方正仿宋_GBK" w:cs="Times New Roman"/>
          <w:b w:val="0"/>
          <w:bCs w:val="0"/>
          <w:color w:val="auto"/>
          <w:sz w:val="32"/>
          <w:szCs w:val="32"/>
        </w:rPr>
        <w:t>（一）项目决策情况。</w:t>
      </w:r>
      <w:bookmarkEnd w:id="11"/>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立项依据充分性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①项目立项符合国家法律法规、国民经济发展规划和相关政策；</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②项目立项符合行业发展规划和政策要求；</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③项目立项与部门职责范围相符，属于部门履职所需；</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④项目属于公共财政支持范围，符合中央、地方事权支出责任划分原则；</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⑤项目</w:t>
      </w:r>
      <w:r>
        <w:rPr>
          <w:rFonts w:hint="default" w:ascii="Times New Roman" w:hAnsi="Times New Roman" w:eastAsia="方正仿宋_GBK" w:cs="Times New Roman"/>
          <w:color w:val="auto"/>
          <w:sz w:val="32"/>
          <w:szCs w:val="32"/>
          <w:lang w:val="en-US" w:eastAsia="zh-CN"/>
        </w:rPr>
        <w:t>没有</w:t>
      </w:r>
      <w:r>
        <w:rPr>
          <w:rFonts w:hint="default" w:ascii="Times New Roman" w:hAnsi="Times New Roman" w:eastAsia="方正仿宋_GBK" w:cs="Times New Roman"/>
          <w:color w:val="auto"/>
          <w:sz w:val="32"/>
          <w:szCs w:val="32"/>
        </w:rPr>
        <w:t>与相关部门同类项目或部门内部相关项目重复。</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根据</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highlight w:val="none"/>
          <w:lang w:eastAsia="zh-CN"/>
        </w:rPr>
        <w:t>关于下达</w:t>
      </w:r>
      <w:r>
        <w:rPr>
          <w:rFonts w:hint="default" w:ascii="Times New Roman" w:hAnsi="Times New Roman" w:eastAsia="方正仿宋_GBK" w:cs="Times New Roman"/>
          <w:color w:val="auto"/>
          <w:sz w:val="32"/>
          <w:szCs w:val="32"/>
          <w:highlight w:val="none"/>
          <w:lang w:val="en-US" w:eastAsia="zh-CN"/>
        </w:rPr>
        <w:t>2023年中央农业产业发展资金（畜牧业方面）</w:t>
      </w:r>
      <w:r>
        <w:rPr>
          <w:rFonts w:hint="default" w:ascii="Times New Roman" w:hAnsi="Times New Roman" w:eastAsia="方正仿宋_GBK" w:cs="Times New Roman"/>
          <w:color w:val="auto"/>
          <w:sz w:val="32"/>
          <w:szCs w:val="32"/>
          <w:highlight w:val="none"/>
        </w:rPr>
        <w:t>的通知》（</w:t>
      </w:r>
      <w:r>
        <w:rPr>
          <w:rFonts w:hint="default" w:ascii="Times New Roman" w:hAnsi="Times New Roman" w:eastAsia="方正仿宋_GBK" w:cs="Times New Roman"/>
          <w:color w:val="auto"/>
          <w:sz w:val="32"/>
          <w:szCs w:val="32"/>
          <w:highlight w:val="none"/>
          <w:lang w:eastAsia="zh-CN"/>
        </w:rPr>
        <w:t>巴财农</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29</w:t>
      </w:r>
      <w:r>
        <w:rPr>
          <w:rFonts w:hint="default" w:ascii="Times New Roman" w:hAnsi="Times New Roman" w:eastAsia="方正仿宋_GBK" w:cs="Times New Roman"/>
          <w:color w:val="auto"/>
          <w:sz w:val="32"/>
          <w:szCs w:val="32"/>
          <w:highlight w:val="none"/>
        </w:rPr>
        <w:t>号）</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此项权重分3分，得分3分。</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立项程序规范性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①项目按照规定的程序申请设立；</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②审批文件、材料符合相关要求；</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③事前已经过必要的可行性研究、专家论证、风险评估、绩效评估、集体决策。</w:t>
      </w:r>
    </w:p>
    <w:p>
      <w:pPr>
        <w:pStyle w:val="12"/>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项目申请、设立过程符合相关要求，</w:t>
      </w:r>
      <w:r>
        <w:rPr>
          <w:rFonts w:hint="default" w:ascii="Times New Roman" w:hAnsi="Times New Roman" w:eastAsia="方正仿宋_GBK" w:cs="Times New Roman"/>
          <w:b w:val="0"/>
          <w:bCs w:val="0"/>
          <w:color w:val="auto"/>
          <w:sz w:val="32"/>
          <w:szCs w:val="32"/>
          <w:lang w:val="en-US" w:eastAsia="zh-Hans"/>
        </w:rPr>
        <w:t>严格按照审批流程准备符合要求的文件、材料；</w:t>
      </w:r>
      <w:r>
        <w:rPr>
          <w:rFonts w:hint="default" w:ascii="Times New Roman" w:hAnsi="Times New Roman" w:eastAsia="方正仿宋_GBK" w:cs="Times New Roman"/>
          <w:b w:val="0"/>
          <w:bCs w:val="0"/>
          <w:color w:val="auto"/>
          <w:sz w:val="32"/>
          <w:szCs w:val="32"/>
          <w:lang w:val="en-US" w:eastAsia="zh-CN"/>
        </w:rPr>
        <w:t>根据决算依据编制工作计划和经费预算，经过与部门项目分管领导沟通、筛选确定经费预算计划，确定最终预算方案。项目的审批文件、材料符合相关要求，项目事前经过必要的可行性研究、专家论证、风险评估、绩效评估、集体决策，保障了程序的规范性。</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此项权重分3分，得分3分。</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绩效目标合理性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（①项目有绩效目标；</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②项目绩效目标与实际工作内容具有相关性；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③项目预期产出效益和效果符合正常的业绩水平；</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④与预算确定的项目投资额或资金量相匹配。</w:t>
      </w:r>
    </w:p>
    <w:p>
      <w:pPr>
        <w:pStyle w:val="4"/>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2023年中央农业产业发展资金，</w:t>
      </w:r>
      <w:r>
        <w:rPr>
          <w:rFonts w:hint="default" w:ascii="Times New Roman" w:hAnsi="Times New Roman" w:eastAsia="方正仿宋_GBK" w:cs="Times New Roman"/>
          <w:b w:val="0"/>
          <w:bCs w:val="0"/>
          <w:color w:val="auto"/>
          <w:sz w:val="32"/>
          <w:szCs w:val="32"/>
        </w:rPr>
        <w:t>项目设立了项目绩效目标，与</w:t>
      </w:r>
      <w:r>
        <w:rPr>
          <w:rFonts w:hint="eastAsia" w:ascii="Times New Roman" w:hAnsi="Times New Roman" w:eastAsia="方正仿宋_GBK" w:cs="Times New Roman"/>
          <w:b w:val="0"/>
          <w:bCs w:val="0"/>
          <w:color w:val="auto"/>
          <w:sz w:val="32"/>
          <w:szCs w:val="32"/>
          <w:lang w:val="en-US" w:eastAsia="zh-CN"/>
        </w:rPr>
        <w:t>秸秆利用和良种补贴</w:t>
      </w:r>
      <w:r>
        <w:rPr>
          <w:rFonts w:hint="default" w:ascii="Times New Roman" w:hAnsi="Times New Roman" w:eastAsia="方正仿宋_GBK" w:cs="Times New Roman"/>
          <w:b w:val="0"/>
          <w:bCs w:val="0"/>
          <w:color w:val="auto"/>
          <w:sz w:val="32"/>
          <w:szCs w:val="32"/>
        </w:rPr>
        <w:t>具有相关性，项目的预期产出效益和效果也均能符合正常的业绩水平，并且与预算确定的项目投资额或资金量相匹配。</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此项权重分3分，得分3分。</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绩效指标明确性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①将项目绩效目标细化分解为具体的绩效指标；</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②通过清晰、可衡量的指标值予以体现；</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③与项目目标任务数或计划数相对应。</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bookmarkStart w:id="12" w:name="_Hlk68699917"/>
      <w:r>
        <w:rPr>
          <w:rFonts w:hint="default" w:ascii="Times New Roman" w:hAnsi="Times New Roman" w:eastAsia="方正仿宋_GBK" w:cs="Times New Roman"/>
          <w:b w:val="0"/>
          <w:bCs w:val="0"/>
          <w:color w:val="auto"/>
          <w:kern w:val="2"/>
          <w:sz w:val="32"/>
          <w:szCs w:val="32"/>
          <w:lang w:val="en-US" w:eastAsia="zh-CN" w:bidi="ar-SA"/>
        </w:rPr>
        <w:t>2023年中央农业产业发展资金</w:t>
      </w:r>
      <w:r>
        <w:rPr>
          <w:rFonts w:hint="default" w:ascii="Times New Roman" w:hAnsi="Times New Roman" w:eastAsia="方正仿宋_GBK" w:cs="Times New Roman"/>
          <w:color w:val="auto"/>
          <w:sz w:val="32"/>
          <w:szCs w:val="32"/>
        </w:rPr>
        <w:t>将项目绩效目标细化分解为具体的绩效指标，一级指标共</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条，二级指标共</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条，三级指标共</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条，其中量化指标条数共</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条，所有绩效指标均通过清晰、可衡量的指标值予以体现，并且做到了与项目目标任务数或计划数相对应。</w:t>
      </w:r>
      <w:bookmarkEnd w:id="12"/>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此项权重分4分，得分4分。</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预算编制科学性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①预算编制经过科学论证；</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②预算内容与项目内容匹配；</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③预算额度测算依据充分，按照标准编制；</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④预算确定的项目投资额或资金量与工作任务相匹配。</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此项权重分3分，得分3分。</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资金分配合理性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①预算资金分配依据充分；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②资金分配额度合理，与项目单位或地方实际相适应。</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此项权重分4分，得分4分。</w:t>
      </w:r>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rPr>
      </w:pPr>
      <w:bookmarkStart w:id="13" w:name="_Toc68703839"/>
      <w:r>
        <w:rPr>
          <w:rFonts w:hint="default" w:ascii="Times New Roman" w:hAnsi="Times New Roman" w:eastAsia="方正仿宋_GBK" w:cs="Times New Roman"/>
          <w:b w:val="0"/>
          <w:bCs w:val="0"/>
          <w:color w:val="auto"/>
          <w:sz w:val="32"/>
          <w:szCs w:val="32"/>
        </w:rPr>
        <w:t>（二）项目过程情况。</w:t>
      </w:r>
      <w:bookmarkEnd w:id="13"/>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资金到位率：</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预算资金</w:t>
      </w:r>
      <w:r>
        <w:rPr>
          <w:rFonts w:hint="default" w:ascii="Times New Roman" w:hAnsi="Times New Roman" w:eastAsia="方正仿宋_GBK" w:cs="Times New Roman"/>
          <w:color w:val="auto"/>
          <w:sz w:val="32"/>
          <w:szCs w:val="32"/>
          <w:lang w:val="en-US" w:eastAsia="zh-CN"/>
        </w:rPr>
        <w:t>229.5</w:t>
      </w:r>
      <w:r>
        <w:rPr>
          <w:rFonts w:hint="default" w:ascii="Times New Roman" w:hAnsi="Times New Roman" w:eastAsia="方正仿宋_GBK" w:cs="Times New Roman"/>
          <w:color w:val="auto"/>
          <w:sz w:val="32"/>
          <w:szCs w:val="32"/>
        </w:rPr>
        <w:t>万元，实际到位资金</w:t>
      </w:r>
      <w:r>
        <w:rPr>
          <w:rFonts w:hint="default" w:ascii="Times New Roman" w:hAnsi="Times New Roman" w:eastAsia="方正仿宋_GBK" w:cs="Times New Roman"/>
          <w:color w:val="auto"/>
          <w:sz w:val="32"/>
          <w:szCs w:val="32"/>
          <w:lang w:val="en-US" w:eastAsia="zh-CN"/>
        </w:rPr>
        <w:t>229.5</w:t>
      </w:r>
      <w:r>
        <w:rPr>
          <w:rFonts w:hint="default" w:ascii="Times New Roman" w:hAnsi="Times New Roman" w:eastAsia="方正仿宋_GBK" w:cs="Times New Roman"/>
          <w:color w:val="auto"/>
          <w:sz w:val="32"/>
          <w:szCs w:val="32"/>
        </w:rPr>
        <w:t>万元，资金到位率</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此项权重分4分，得分4分。</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预算执行率</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全年预算数</w:t>
      </w:r>
      <w:r>
        <w:rPr>
          <w:rFonts w:hint="default" w:ascii="Times New Roman" w:hAnsi="Times New Roman" w:eastAsia="方正仿宋_GBK" w:cs="Times New Roman"/>
          <w:color w:val="auto"/>
          <w:sz w:val="32"/>
          <w:szCs w:val="32"/>
          <w:lang w:val="en-US" w:eastAsia="zh-CN"/>
        </w:rPr>
        <w:t>229.5</w:t>
      </w:r>
      <w:r>
        <w:rPr>
          <w:rFonts w:hint="default" w:ascii="Times New Roman" w:hAnsi="Times New Roman" w:eastAsia="方正仿宋_GBK" w:cs="Times New Roman"/>
          <w:color w:val="auto"/>
          <w:sz w:val="32"/>
          <w:szCs w:val="32"/>
        </w:rPr>
        <w:t>万元，全年执行数</w:t>
      </w:r>
      <w:r>
        <w:rPr>
          <w:rFonts w:hint="default" w:ascii="Times New Roman" w:hAnsi="Times New Roman" w:eastAsia="方正仿宋_GBK" w:cs="Times New Roman"/>
          <w:color w:val="auto"/>
          <w:sz w:val="32"/>
          <w:szCs w:val="32"/>
          <w:lang w:val="en-US" w:eastAsia="zh-CN"/>
        </w:rPr>
        <w:t>64.7</w:t>
      </w:r>
      <w:r>
        <w:rPr>
          <w:rFonts w:hint="default" w:ascii="Times New Roman" w:hAnsi="Times New Roman" w:eastAsia="方正仿宋_GBK" w:cs="Times New Roman"/>
          <w:color w:val="auto"/>
          <w:sz w:val="32"/>
          <w:szCs w:val="32"/>
        </w:rPr>
        <w:t>万元，预算执行率为</w:t>
      </w:r>
      <w:r>
        <w:rPr>
          <w:rFonts w:hint="default" w:ascii="Times New Roman" w:hAnsi="Times New Roman" w:eastAsia="方正仿宋_GBK" w:cs="Times New Roman"/>
          <w:color w:val="auto"/>
          <w:sz w:val="32"/>
          <w:szCs w:val="32"/>
          <w:lang w:val="en-US" w:eastAsia="zh-CN"/>
        </w:rPr>
        <w:t>28.12</w:t>
      </w:r>
      <w:r>
        <w:rPr>
          <w:rFonts w:hint="default" w:ascii="Times New Roman" w:hAnsi="Times New Roman" w:eastAsia="方正仿宋_GBK" w:cs="Times New Roman"/>
          <w:color w:val="auto"/>
          <w:sz w:val="32"/>
          <w:szCs w:val="32"/>
        </w:rPr>
        <w:t>%</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此项权重分4分，得分2分。</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资金使用合规性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①符合国家财经法规和财务管理制度以及有关专项资金管理办法的规定；</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②资金的拨付有完整的审批程序和手续；</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③符合项目预算批复或合同规定的用途；</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w:t>
      </w:r>
      <w:r>
        <w:rPr>
          <w:rFonts w:hint="default" w:ascii="Times New Roman" w:hAnsi="Times New Roman" w:eastAsia="方正仿宋_GBK" w:cs="Times New Roman"/>
          <w:color w:val="auto"/>
          <w:sz w:val="32"/>
          <w:szCs w:val="32"/>
          <w:lang w:val="en-US" w:eastAsia="zh-CN"/>
        </w:rPr>
        <w:t>不</w:t>
      </w:r>
      <w:r>
        <w:rPr>
          <w:rFonts w:hint="default" w:ascii="Times New Roman" w:hAnsi="Times New Roman" w:eastAsia="方正仿宋_GBK" w:cs="Times New Roman"/>
          <w:color w:val="auto"/>
          <w:sz w:val="32"/>
          <w:szCs w:val="32"/>
        </w:rPr>
        <w:t>存在截留、挤占、挪用、虚列支出等情况。</w:t>
      </w:r>
    </w:p>
    <w:p>
      <w:pPr>
        <w:pStyle w:val="12"/>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项目严格按照预期绩效目标执行预算资金。制定了相关的制度和管理规定，对项目经费使用进行规范管理，财务制度健全、执行严格。资金的拨付有完整的审批程序和手续，在项目资金拨付和使用过程中，为确保项目资金的安全性，提高项目资金使用效率，严格遵循项目资金的拨付程序，认真审核项目实施各阶段的相关材料和手续，根据项目实施进展情况拨付资金。资金使用符合该项目的立项批复。资金不存在截留、挤占、挪用、虚列支出等情况。</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此项权重分4分，得分4分。</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管理制度健全性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①已制定或具有相应的财务和业务管理制度；</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②财务和业务管理制度合法、合规、完整。</w:t>
      </w:r>
    </w:p>
    <w:p>
      <w:pPr>
        <w:pStyle w:val="12"/>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制定了相关管理办法，对财政资金进行严格管理，做到专款专用，项目资金使用符合相关的财务管理制度规定，能够反映和考核项目资金的规范运行情况；项目实施单位的财务和业务管理制度健全，能够反映和考核财务和业务管理制度对项目顺利实施的保障情况。</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此项权重分4分，得分4分。</w:t>
      </w:r>
    </w:p>
    <w:p>
      <w:pPr>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制度执行有效性</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①遵守相关法律法规和相关管理规定；</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②项目调整及支出调整手续完备；</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③项目合同书、验收报告、技术鉴定等资料齐全并及时归档；</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④项目实施的人员条件、场地设备、信息支撑等落实到位。</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此项权重分4分，得分4分。</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bookmarkStart w:id="14" w:name="_Toc68703840"/>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b w:val="0"/>
          <w:bCs w:val="0"/>
          <w:color w:val="auto"/>
          <w:sz w:val="32"/>
          <w:szCs w:val="32"/>
          <w:highlight w:val="none"/>
        </w:rPr>
        <w:t>项目产出情况。</w:t>
      </w:r>
      <w:bookmarkEnd w:id="14"/>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1.数量指标完成情况：指标1：玉米青贮收储，指标值：5万吨，实际完成值5万吨，指标完成率100%；指标2：种公羊补贴，指标值：235只，实际完成值235只，指标完成率100%；</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此项权重分10分，得分10分。</w:t>
      </w:r>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2.质量指标完成情况：指标1：发展资金发放准确率，指标值：100%，实际完成值100% ，指标完成率100 %；</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此项权重分10分，得分10分。</w:t>
      </w:r>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3.时效指标完成情况：指标1：完成时限，指标值：2023年12月30日前，实际完成值2023年11月，指标完成率100 %；</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此项权重分10分，得分10分。</w:t>
      </w:r>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4.成本指标完成情况：指标1：用于玉米青贮收储、种公羊补贴，指标值229.5万元，实际完成值229.5万元，指标完成率100 %；</w:t>
      </w:r>
    </w:p>
    <w:p>
      <w:pPr>
        <w:pStyle w:val="12"/>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val="0"/>
          <w:bCs w:val="0"/>
          <w:color w:val="auto"/>
          <w:kern w:val="2"/>
          <w:sz w:val="32"/>
          <w:szCs w:val="32"/>
          <w:lang w:val="en-US" w:eastAsia="zh-CN" w:bidi="ar-SA"/>
        </w:rPr>
        <w:t>此项权重分10分，得分10分。</w:t>
      </w:r>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（四）项目效益</w:t>
      </w:r>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1.经济效益指标完成情况：指标1：种公羊改良户增收，指标值：200元，实际完成值200元，指标完成率100 %。</w:t>
      </w:r>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此项权重分3分，得分3分</w:t>
      </w:r>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2.社会效益指标完成情况：指标1：畜牧业生产，指标值：有效保障，实际完成有效保障，指标完成率100 %。</w:t>
      </w:r>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此项权重分3分，得分3分</w:t>
      </w:r>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3.生态效益指标完成情况：指标1：改善生态环境，指标值：得到改善，实际完成得到改善，指标完成率100 %。</w:t>
      </w:r>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此项权重分4分，得分4分</w:t>
      </w:r>
    </w:p>
    <w:p>
      <w:pPr>
        <w:pageBreakBefore w:val="0"/>
        <w:numPr>
          <w:ilvl w:val="0"/>
          <w:numId w:val="0"/>
        </w:numP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4.满意度指标完成情况：指标1：项目实施满意度，指标：≥90%，实际完成95%，指标完成率100 %。</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Hans"/>
        </w:rPr>
      </w:pPr>
      <w:bookmarkStart w:id="15" w:name="_Toc68703842"/>
      <w:r>
        <w:rPr>
          <w:rFonts w:hint="default" w:ascii="Times New Roman" w:hAnsi="Times New Roman" w:eastAsia="方正仿宋_GBK" w:cs="Times New Roman"/>
          <w:b w:val="0"/>
          <w:bCs w:val="0"/>
          <w:color w:val="auto"/>
          <w:kern w:val="2"/>
          <w:sz w:val="32"/>
          <w:szCs w:val="32"/>
          <w:lang w:val="en-US" w:eastAsia="zh-CN" w:bidi="ar-SA"/>
        </w:rPr>
        <w:t>此项权重分10分，得分10分</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lang w:eastAsia="zh-Hans"/>
        </w:rPr>
      </w:pPr>
      <w:r>
        <w:rPr>
          <w:rFonts w:hint="eastAsia" w:ascii="方正黑体_GBK" w:hAnsi="方正黑体_GBK" w:eastAsia="方正黑体_GBK" w:cs="方正黑体_GBK"/>
          <w:b w:val="0"/>
          <w:bCs w:val="0"/>
          <w:color w:val="auto"/>
          <w:sz w:val="32"/>
          <w:szCs w:val="32"/>
          <w:lang w:eastAsia="zh-Hans"/>
        </w:rPr>
        <w:t>五、预算执行进度与绩效指标总体完成率偏差</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2023年中央农业产业发展资金（畜牧业）项目年初预算229.5万元，全年预算229.5万元，实际支出64.7万元，预算执行率为28.12%，项目绩效指标总体完成率为98%。偏差原因：县财政十分困难，项目资金没有及时支付。</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color w:val="auto"/>
          <w:sz w:val="32"/>
          <w:szCs w:val="32"/>
          <w:lang w:eastAsia="zh-Hans"/>
        </w:rPr>
      </w:pPr>
      <w:r>
        <w:rPr>
          <w:rFonts w:hint="default" w:ascii="方正黑体_GBK" w:hAnsi="方正黑体_GBK" w:eastAsia="方正黑体_GBK" w:cs="方正黑体_GBK"/>
          <w:b w:val="0"/>
          <w:bCs w:val="0"/>
          <w:color w:val="auto"/>
          <w:sz w:val="32"/>
          <w:szCs w:val="32"/>
          <w:lang w:val="en-US" w:eastAsia="zh-CN"/>
        </w:rPr>
        <w:t>六</w:t>
      </w:r>
      <w:r>
        <w:rPr>
          <w:rFonts w:hint="default" w:ascii="方正黑体_GBK" w:hAnsi="方正黑体_GBK" w:eastAsia="方正黑体_GBK" w:cs="方正黑体_GBK"/>
          <w:b w:val="0"/>
          <w:bCs w:val="0"/>
          <w:color w:val="auto"/>
          <w:sz w:val="32"/>
          <w:szCs w:val="32"/>
          <w:lang w:eastAsia="zh-Hans"/>
        </w:rPr>
        <w:t>、主要经验及做法、存在的问题及原因分析</w:t>
      </w:r>
      <w:bookmarkEnd w:id="15"/>
    </w:p>
    <w:p>
      <w:pPr>
        <w:pStyle w:val="5"/>
        <w:pageBreakBefore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rPr>
      </w:pPr>
      <w:bookmarkStart w:id="16" w:name="_Toc68703843"/>
      <w:r>
        <w:rPr>
          <w:rFonts w:hint="default" w:ascii="Times New Roman" w:hAnsi="Times New Roman" w:eastAsia="方正仿宋_GBK" w:cs="Times New Roman"/>
          <w:b w:val="0"/>
          <w:bCs w:val="0"/>
          <w:color w:val="auto"/>
          <w:sz w:val="32"/>
          <w:szCs w:val="32"/>
        </w:rPr>
        <w:t>（一）主要经验及做法</w:t>
      </w:r>
      <w:bookmarkEnd w:id="16"/>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一是专项资金实行“专人管理、专户储存、专账核算、专项使用”。</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二是资金的拨付本着专款专用的原则，严格执行项目资金批准的使用计划和项目批复资料，不准擅自调项、扩项、缩项，更不准拆借、挪用、挤占和随意扣压;资金拨付动向，按不一样专项资金的要求执行，不准任意改变;特殊状况，务必请示。</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三是严格专项资金初审、审核、审核制度，不准缺项和越程序办理手续，各类专项资金审批程序，以该专项资金审批表所列资料和文件要求为准。</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四是专项资金报账拨付要附真实、有效、合法的凭证。</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五是加强审计监督，实行单项工程决算审计，整体项目验收审计，年度资金收支审计。</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六是对专项资金要定期或不定期进行督查，确保项目资金专款专用，要全程参与项目验收和采购项目接交。</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bookmarkStart w:id="17" w:name="_Toc68703844"/>
      <w:r>
        <w:rPr>
          <w:rFonts w:hint="default" w:ascii="Times New Roman" w:hAnsi="Times New Roman" w:eastAsia="方正仿宋_GBK" w:cs="Times New Roman"/>
          <w:b w:val="0"/>
          <w:bCs w:val="0"/>
          <w:color w:val="auto"/>
          <w:kern w:val="2"/>
          <w:sz w:val="32"/>
          <w:szCs w:val="32"/>
          <w:lang w:val="en-US" w:eastAsia="zh-CN" w:bidi="ar-SA"/>
        </w:rPr>
        <w:t>（二）存在的问题及原因分析</w:t>
      </w:r>
      <w:bookmarkEnd w:id="17"/>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bookmarkStart w:id="18" w:name="_Toc68703845"/>
      <w:r>
        <w:rPr>
          <w:rFonts w:hint="eastAsia" w:ascii="方正黑体_GBK" w:hAnsi="方正黑体_GBK" w:eastAsia="方正黑体_GBK" w:cs="方正黑体_GBK"/>
          <w:b w:val="0"/>
          <w:bCs w:val="0"/>
          <w:color w:val="auto"/>
          <w:sz w:val="32"/>
          <w:szCs w:val="32"/>
          <w:lang w:val="en-US" w:eastAsia="zh-CN"/>
        </w:rPr>
        <w:t>七、有关建议</w:t>
      </w:r>
      <w:bookmarkEnd w:id="18"/>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1.多进行有关绩效管理工作方面的培训。积极组织第三方开展绩效管理工作培训，进一步夯实业务基础，提高我单位绩效人员水平。</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进一步加强对绩效管理工作的组织领导，提高对预算绩效管理工作重要性的认识，总结经验查找问题，抓紧研究制定更全面更完善的绩效评价管理办法。结合考核建立绩效工作考核制度，加大全局对全面实施预算绩效管理和绩效管理工作的学习力度，让“花钱必问效，无效必问责”的理念深入工作每个环节。</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val="0"/>
          <w:color w:val="auto"/>
          <w:sz w:val="32"/>
          <w:szCs w:val="32"/>
          <w:lang w:val="en-US" w:eastAsia="zh-CN"/>
        </w:rPr>
      </w:pPr>
      <w:bookmarkStart w:id="19" w:name="_Toc68703846"/>
      <w:r>
        <w:rPr>
          <w:rFonts w:hint="default" w:ascii="方正黑体_GBK" w:hAnsi="方正黑体_GBK" w:eastAsia="方正黑体_GBK" w:cs="方正黑体_GBK"/>
          <w:b w:val="0"/>
          <w:bCs w:val="0"/>
          <w:color w:val="auto"/>
          <w:sz w:val="32"/>
          <w:szCs w:val="32"/>
          <w:lang w:val="en-US" w:eastAsia="zh-CN"/>
        </w:rPr>
        <w:t>八、其他需要说明的问题</w:t>
      </w:r>
      <w:bookmarkEnd w:id="19"/>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无</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1928" w:right="1531" w:bottom="1701" w:left="1531" w:header="737" w:footer="851" w:gutter="0"/>
      <w:pgNumType w:fmt="numberInDash"/>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_GB2312">
    <w:altName w:val="Times New Roman"/>
    <w:panose1 w:val="00000000000000000000"/>
    <w:charset w:val="00"/>
    <w:family w:val="auto"/>
    <w:pitch w:val="default"/>
    <w:sig w:usb0="00000000" w:usb1="00000000" w:usb2="00000000" w:usb3="00000000" w:csb0="00000001" w:csb1="00000000"/>
  </w:font>
  <w:font w:name="红豆小标宋简体">
    <w:altName w:val="宋体"/>
    <w:panose1 w:val="02000509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mY2U1OWUyZDczNDJhMTliMjVlZmY1NjQ5ZmFkNzgifQ=="/>
    <w:docVar w:name="KSO_WPS_MARK_KEY" w:val="b3fc2acd-51a9-45ce-8d80-18e6d2738da8"/>
  </w:docVars>
  <w:rsids>
    <w:rsidRoot w:val="007D49C5"/>
    <w:rsid w:val="000D63FA"/>
    <w:rsid w:val="001E7F6B"/>
    <w:rsid w:val="00233761"/>
    <w:rsid w:val="005B64E8"/>
    <w:rsid w:val="00614288"/>
    <w:rsid w:val="00792CFE"/>
    <w:rsid w:val="007D49C5"/>
    <w:rsid w:val="008175E0"/>
    <w:rsid w:val="008C631D"/>
    <w:rsid w:val="009644D5"/>
    <w:rsid w:val="00A114ED"/>
    <w:rsid w:val="00B24331"/>
    <w:rsid w:val="00EB3433"/>
    <w:rsid w:val="01BD14D6"/>
    <w:rsid w:val="023D6683"/>
    <w:rsid w:val="02873BB9"/>
    <w:rsid w:val="028923B4"/>
    <w:rsid w:val="02FE0DF2"/>
    <w:rsid w:val="031A7868"/>
    <w:rsid w:val="03475C25"/>
    <w:rsid w:val="04190FDB"/>
    <w:rsid w:val="04F05193"/>
    <w:rsid w:val="04F748CA"/>
    <w:rsid w:val="05227DA5"/>
    <w:rsid w:val="054478BD"/>
    <w:rsid w:val="05945831"/>
    <w:rsid w:val="05EF3F4F"/>
    <w:rsid w:val="061439B5"/>
    <w:rsid w:val="06B53FAD"/>
    <w:rsid w:val="07034156"/>
    <w:rsid w:val="078454E6"/>
    <w:rsid w:val="079E5D0A"/>
    <w:rsid w:val="07C2028C"/>
    <w:rsid w:val="085E28EB"/>
    <w:rsid w:val="08B651F8"/>
    <w:rsid w:val="08D20D13"/>
    <w:rsid w:val="098A702D"/>
    <w:rsid w:val="0A774213"/>
    <w:rsid w:val="0B325009"/>
    <w:rsid w:val="0B881167"/>
    <w:rsid w:val="0C4D0F1B"/>
    <w:rsid w:val="0CBC1C4B"/>
    <w:rsid w:val="0CE95B9C"/>
    <w:rsid w:val="0D6921FF"/>
    <w:rsid w:val="0D6A19CB"/>
    <w:rsid w:val="0E1E44A8"/>
    <w:rsid w:val="0E910299"/>
    <w:rsid w:val="0ECA64CF"/>
    <w:rsid w:val="0F083320"/>
    <w:rsid w:val="0F2A6BF7"/>
    <w:rsid w:val="109262F5"/>
    <w:rsid w:val="1170495C"/>
    <w:rsid w:val="119B5183"/>
    <w:rsid w:val="123E24E6"/>
    <w:rsid w:val="123E3C87"/>
    <w:rsid w:val="12B10F0A"/>
    <w:rsid w:val="139879D4"/>
    <w:rsid w:val="14CC31DC"/>
    <w:rsid w:val="15D849FF"/>
    <w:rsid w:val="168E58E8"/>
    <w:rsid w:val="16BA5EB3"/>
    <w:rsid w:val="1763654B"/>
    <w:rsid w:val="177273B1"/>
    <w:rsid w:val="17897736"/>
    <w:rsid w:val="1901620C"/>
    <w:rsid w:val="196B7938"/>
    <w:rsid w:val="1A2E1092"/>
    <w:rsid w:val="1A3324F7"/>
    <w:rsid w:val="1B28311B"/>
    <w:rsid w:val="1BB27AA1"/>
    <w:rsid w:val="1BE2206C"/>
    <w:rsid w:val="1C2A350C"/>
    <w:rsid w:val="1C4921B3"/>
    <w:rsid w:val="1D723F37"/>
    <w:rsid w:val="1D785367"/>
    <w:rsid w:val="1DEC2A40"/>
    <w:rsid w:val="1F460650"/>
    <w:rsid w:val="1F5F1CED"/>
    <w:rsid w:val="1F7074FC"/>
    <w:rsid w:val="1FCB2EDF"/>
    <w:rsid w:val="1FD20711"/>
    <w:rsid w:val="201E02C3"/>
    <w:rsid w:val="208D34E9"/>
    <w:rsid w:val="20D83B05"/>
    <w:rsid w:val="20E029BA"/>
    <w:rsid w:val="20F707DE"/>
    <w:rsid w:val="21D076EB"/>
    <w:rsid w:val="223D35CF"/>
    <w:rsid w:val="22853819"/>
    <w:rsid w:val="23203542"/>
    <w:rsid w:val="233139A1"/>
    <w:rsid w:val="248941F8"/>
    <w:rsid w:val="25F67384"/>
    <w:rsid w:val="26812549"/>
    <w:rsid w:val="26F93BFA"/>
    <w:rsid w:val="276565B9"/>
    <w:rsid w:val="27C06FBD"/>
    <w:rsid w:val="27E9319A"/>
    <w:rsid w:val="29053034"/>
    <w:rsid w:val="293D56DE"/>
    <w:rsid w:val="2A0F1B12"/>
    <w:rsid w:val="2A8C6870"/>
    <w:rsid w:val="2A8D770F"/>
    <w:rsid w:val="2B8A6CDA"/>
    <w:rsid w:val="2BDF21EC"/>
    <w:rsid w:val="2C575D2E"/>
    <w:rsid w:val="2C840FE5"/>
    <w:rsid w:val="2D29490C"/>
    <w:rsid w:val="2DFA6EF8"/>
    <w:rsid w:val="2E195DCA"/>
    <w:rsid w:val="2F065871"/>
    <w:rsid w:val="2F0A19D6"/>
    <w:rsid w:val="2F6D7C31"/>
    <w:rsid w:val="2FC06416"/>
    <w:rsid w:val="2FFA37FD"/>
    <w:rsid w:val="30E958BB"/>
    <w:rsid w:val="31FC1D0D"/>
    <w:rsid w:val="323D1A1A"/>
    <w:rsid w:val="324C4353"/>
    <w:rsid w:val="32660AFD"/>
    <w:rsid w:val="32841200"/>
    <w:rsid w:val="32AE0DEC"/>
    <w:rsid w:val="32C64BE2"/>
    <w:rsid w:val="339D4387"/>
    <w:rsid w:val="3486601E"/>
    <w:rsid w:val="357E2E99"/>
    <w:rsid w:val="365D042B"/>
    <w:rsid w:val="36B54947"/>
    <w:rsid w:val="36B72533"/>
    <w:rsid w:val="38772647"/>
    <w:rsid w:val="390908A8"/>
    <w:rsid w:val="391B05DB"/>
    <w:rsid w:val="39B02945"/>
    <w:rsid w:val="39EE7A9E"/>
    <w:rsid w:val="3A053442"/>
    <w:rsid w:val="3ABF7B5C"/>
    <w:rsid w:val="3B3C5B1B"/>
    <w:rsid w:val="3C1F274E"/>
    <w:rsid w:val="3C7A0E84"/>
    <w:rsid w:val="3C9F00D5"/>
    <w:rsid w:val="3CD64F45"/>
    <w:rsid w:val="3D4C3E75"/>
    <w:rsid w:val="3D97246B"/>
    <w:rsid w:val="3DAA3418"/>
    <w:rsid w:val="3DE04A06"/>
    <w:rsid w:val="3E095C4A"/>
    <w:rsid w:val="3E7D0866"/>
    <w:rsid w:val="4057649F"/>
    <w:rsid w:val="41690BE2"/>
    <w:rsid w:val="41F1073B"/>
    <w:rsid w:val="43182414"/>
    <w:rsid w:val="433548ED"/>
    <w:rsid w:val="442C7B41"/>
    <w:rsid w:val="44586BD2"/>
    <w:rsid w:val="44D641D4"/>
    <w:rsid w:val="44F116C5"/>
    <w:rsid w:val="4603780B"/>
    <w:rsid w:val="46470C62"/>
    <w:rsid w:val="46507BB3"/>
    <w:rsid w:val="475E0864"/>
    <w:rsid w:val="478D08F6"/>
    <w:rsid w:val="48945CB4"/>
    <w:rsid w:val="489668A0"/>
    <w:rsid w:val="48980CD4"/>
    <w:rsid w:val="496E6DB8"/>
    <w:rsid w:val="49753D38"/>
    <w:rsid w:val="4A754B23"/>
    <w:rsid w:val="4A7C25BE"/>
    <w:rsid w:val="4A9B6C21"/>
    <w:rsid w:val="4AE05316"/>
    <w:rsid w:val="4AE261CF"/>
    <w:rsid w:val="4C22332E"/>
    <w:rsid w:val="4D2318FE"/>
    <w:rsid w:val="4D335384"/>
    <w:rsid w:val="4DBB1341"/>
    <w:rsid w:val="4DBC3CE3"/>
    <w:rsid w:val="4E1753BE"/>
    <w:rsid w:val="4E216031"/>
    <w:rsid w:val="4E4F1536"/>
    <w:rsid w:val="4E755F79"/>
    <w:rsid w:val="4E881DBE"/>
    <w:rsid w:val="4EE573B5"/>
    <w:rsid w:val="4EEA58AC"/>
    <w:rsid w:val="4F896AB9"/>
    <w:rsid w:val="4FC43C20"/>
    <w:rsid w:val="500477A4"/>
    <w:rsid w:val="50E27F05"/>
    <w:rsid w:val="514C4C94"/>
    <w:rsid w:val="521560B8"/>
    <w:rsid w:val="521F1B93"/>
    <w:rsid w:val="52A90BB3"/>
    <w:rsid w:val="536A6722"/>
    <w:rsid w:val="540369AB"/>
    <w:rsid w:val="548166E0"/>
    <w:rsid w:val="54D062DB"/>
    <w:rsid w:val="55250F6F"/>
    <w:rsid w:val="554D3D55"/>
    <w:rsid w:val="55711857"/>
    <w:rsid w:val="55790B1D"/>
    <w:rsid w:val="558C043F"/>
    <w:rsid w:val="56243CF7"/>
    <w:rsid w:val="564E6F06"/>
    <w:rsid w:val="56796849"/>
    <w:rsid w:val="573E39BB"/>
    <w:rsid w:val="57544F8D"/>
    <w:rsid w:val="57727306"/>
    <w:rsid w:val="57BE68AA"/>
    <w:rsid w:val="586A3E95"/>
    <w:rsid w:val="59451DCB"/>
    <w:rsid w:val="5A7C02F9"/>
    <w:rsid w:val="5AAF39C0"/>
    <w:rsid w:val="5AB11087"/>
    <w:rsid w:val="5AE90019"/>
    <w:rsid w:val="5B830BB4"/>
    <w:rsid w:val="5C9F6BDB"/>
    <w:rsid w:val="5CEB0004"/>
    <w:rsid w:val="5CF8460C"/>
    <w:rsid w:val="5D217676"/>
    <w:rsid w:val="5DA95371"/>
    <w:rsid w:val="60DB227B"/>
    <w:rsid w:val="621A1D60"/>
    <w:rsid w:val="63AB7628"/>
    <w:rsid w:val="642711E1"/>
    <w:rsid w:val="642F29FF"/>
    <w:rsid w:val="6487626E"/>
    <w:rsid w:val="648C739B"/>
    <w:rsid w:val="64B45187"/>
    <w:rsid w:val="64D71CA6"/>
    <w:rsid w:val="653216ED"/>
    <w:rsid w:val="662B263E"/>
    <w:rsid w:val="66C67726"/>
    <w:rsid w:val="671F2F54"/>
    <w:rsid w:val="67234E44"/>
    <w:rsid w:val="674438D3"/>
    <w:rsid w:val="67EC2522"/>
    <w:rsid w:val="681C5653"/>
    <w:rsid w:val="684E184D"/>
    <w:rsid w:val="68840726"/>
    <w:rsid w:val="68F11999"/>
    <w:rsid w:val="6AA6780C"/>
    <w:rsid w:val="6AC53250"/>
    <w:rsid w:val="6C1A634D"/>
    <w:rsid w:val="6C7F4402"/>
    <w:rsid w:val="6CA84899"/>
    <w:rsid w:val="6CA95F9B"/>
    <w:rsid w:val="6CAA1DA1"/>
    <w:rsid w:val="6CB65028"/>
    <w:rsid w:val="6CC5024D"/>
    <w:rsid w:val="6D1548AA"/>
    <w:rsid w:val="6DA80470"/>
    <w:rsid w:val="6DAB79DC"/>
    <w:rsid w:val="6E611770"/>
    <w:rsid w:val="6F516D7E"/>
    <w:rsid w:val="6F5906A5"/>
    <w:rsid w:val="6F9630D5"/>
    <w:rsid w:val="70610A40"/>
    <w:rsid w:val="70A22AC2"/>
    <w:rsid w:val="721264CE"/>
    <w:rsid w:val="724D715F"/>
    <w:rsid w:val="72753050"/>
    <w:rsid w:val="73445961"/>
    <w:rsid w:val="73B40E35"/>
    <w:rsid w:val="740C000B"/>
    <w:rsid w:val="75AA01CB"/>
    <w:rsid w:val="763A0251"/>
    <w:rsid w:val="7735779D"/>
    <w:rsid w:val="77D00A8B"/>
    <w:rsid w:val="78A9001E"/>
    <w:rsid w:val="78AC01B8"/>
    <w:rsid w:val="78C56F7B"/>
    <w:rsid w:val="78CD4747"/>
    <w:rsid w:val="79C804C8"/>
    <w:rsid w:val="7B264827"/>
    <w:rsid w:val="7BCA601C"/>
    <w:rsid w:val="7C2B0102"/>
    <w:rsid w:val="7C9457DE"/>
    <w:rsid w:val="7CCB2C33"/>
    <w:rsid w:val="7D5920CD"/>
    <w:rsid w:val="7E051394"/>
    <w:rsid w:val="7F4C6FC1"/>
    <w:rsid w:val="7F544D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5">
    <w:name w:val="heading 2"/>
    <w:basedOn w:val="1"/>
    <w:next w:val="6"/>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726"/>
      </w:tabs>
      <w:ind w:firstLine="420" w:firstLineChars="200"/>
    </w:pPr>
  </w:style>
  <w:style w:type="paragraph" w:styleId="3">
    <w:name w:val="Body Text Indent"/>
    <w:basedOn w:val="1"/>
    <w:next w:val="2"/>
    <w:qFormat/>
    <w:uiPriority w:val="99"/>
    <w:pPr>
      <w:tabs>
        <w:tab w:val="left" w:pos="726"/>
      </w:tabs>
      <w:spacing w:line="440" w:lineRule="exact"/>
      <w:ind w:firstLine="560"/>
    </w:pPr>
    <w:rPr>
      <w:rFonts w:ascii="??_GB2312" w:hAnsi="??_GB2312" w:cs="??_GB2312"/>
      <w:kern w:val="1"/>
      <w:sz w:val="28"/>
      <w:szCs w:val="28"/>
    </w:rPr>
  </w:style>
  <w:style w:type="paragraph" w:styleId="6">
    <w:name w:val="Normal Indent"/>
    <w:basedOn w:val="1"/>
    <w:qFormat/>
    <w:uiPriority w:val="0"/>
    <w:pPr>
      <w:ind w:firstLine="420" w:firstLineChars="200"/>
    </w:pPr>
    <w:rPr>
      <w:rFonts w:eastAsia="宋体"/>
      <w:szCs w:val="24"/>
      <w:u w:val="none"/>
    </w:rPr>
  </w:style>
  <w:style w:type="paragraph" w:styleId="7">
    <w:name w:val="annotation text"/>
    <w:basedOn w:val="1"/>
    <w:qFormat/>
    <w:uiPriority w:val="0"/>
    <w:pPr>
      <w:jc w:val="left"/>
    </w:pPr>
  </w:style>
  <w:style w:type="paragraph" w:styleId="8">
    <w:name w:val="footer"/>
    <w:basedOn w:val="1"/>
    <w:link w:val="21"/>
    <w:semiHidden/>
    <w:unhideWhenUsed/>
    <w:qFormat/>
    <w:uiPriority w:val="99"/>
    <w:pPr>
      <w:tabs>
        <w:tab w:val="center" w:pos="4153"/>
        <w:tab w:val="right" w:pos="8306"/>
      </w:tabs>
      <w:snapToGrid w:val="0"/>
      <w:jc w:val="left"/>
    </w:pPr>
    <w:rPr>
      <w:sz w:val="18"/>
      <w:szCs w:val="18"/>
    </w:rPr>
  </w:style>
  <w:style w:type="paragraph" w:styleId="9">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1">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2">
    <w:name w:val="Title"/>
    <w:basedOn w:val="1"/>
    <w:next w:val="1"/>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5">
    <w:name w:val="Strong"/>
    <w:basedOn w:val="14"/>
    <w:qFormat/>
    <w:uiPriority w:val="0"/>
    <w:rPr>
      <w:b/>
      <w:bCs/>
    </w:rPr>
  </w:style>
  <w:style w:type="character" w:styleId="16">
    <w:name w:val="Hyperlink"/>
    <w:basedOn w:val="14"/>
    <w:unhideWhenUsed/>
    <w:qFormat/>
    <w:uiPriority w:val="99"/>
    <w:rPr>
      <w:color w:val="0563C1" w:themeColor="hyperlink"/>
      <w:u w:val="single"/>
    </w:rPr>
  </w:style>
  <w:style w:type="character" w:customStyle="1" w:styleId="17">
    <w:name w:val="标题 1 Char"/>
    <w:basedOn w:val="14"/>
    <w:link w:val="4"/>
    <w:qFormat/>
    <w:uiPriority w:val="9"/>
    <w:rPr>
      <w:rFonts w:ascii="Times New Roman" w:hAnsi="Times New Roman" w:eastAsia="仿宋_GB2312" w:cs="Times New Roman"/>
      <w:b/>
      <w:bCs/>
      <w:kern w:val="44"/>
      <w:sz w:val="44"/>
      <w:szCs w:val="44"/>
    </w:rPr>
  </w:style>
  <w:style w:type="character" w:customStyle="1" w:styleId="18">
    <w:name w:val="标题 2 Char"/>
    <w:basedOn w:val="14"/>
    <w:link w:val="5"/>
    <w:qFormat/>
    <w:uiPriority w:val="9"/>
    <w:rPr>
      <w:rFonts w:asciiTheme="majorHAnsi" w:hAnsiTheme="majorHAnsi" w:eastAsiaTheme="majorEastAsia" w:cstheme="majorBidi"/>
      <w:b/>
      <w:bCs/>
      <w:sz w:val="32"/>
      <w:szCs w:val="32"/>
    </w:rPr>
  </w:style>
  <w:style w:type="paragraph" w:customStyle="1" w:styleId="19">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character" w:customStyle="1" w:styleId="20">
    <w:name w:val="页眉 Char"/>
    <w:basedOn w:val="14"/>
    <w:link w:val="9"/>
    <w:semiHidden/>
    <w:qFormat/>
    <w:uiPriority w:val="99"/>
    <w:rPr>
      <w:rFonts w:ascii="Times New Roman" w:hAnsi="Times New Roman" w:eastAsia="仿宋_GB2312" w:cs="Times New Roman"/>
      <w:sz w:val="18"/>
      <w:szCs w:val="18"/>
    </w:rPr>
  </w:style>
  <w:style w:type="character" w:customStyle="1" w:styleId="21">
    <w:name w:val="页脚 Char"/>
    <w:basedOn w:val="14"/>
    <w:link w:val="8"/>
    <w:semiHidden/>
    <w:qFormat/>
    <w:uiPriority w:val="99"/>
    <w:rPr>
      <w:rFonts w:ascii="Times New Roman" w:hAnsi="Times New Roman" w:eastAsia="仿宋_GB2312" w:cs="Times New Roman"/>
      <w:sz w:val="18"/>
      <w:szCs w:val="18"/>
    </w:rPr>
  </w:style>
  <w:style w:type="paragraph" w:customStyle="1" w:styleId="22">
    <w:name w:val="闻政-正文段落文字"/>
    <w:basedOn w:val="1"/>
    <w:qFormat/>
    <w:uiPriority w:val="3"/>
    <w:pPr>
      <w:spacing w:line="500" w:lineRule="exact"/>
      <w:ind w:firstLine="200"/>
    </w:pPr>
    <w:rPr>
      <w:kern w:val="0"/>
      <w:szCs w:val="28"/>
    </w:rPr>
  </w:style>
  <w:style w:type="paragraph" w:customStyle="1" w:styleId="23">
    <w:name w:val="样式1"/>
    <w:basedOn w:val="1"/>
    <w:qFormat/>
    <w:uiPriority w:val="0"/>
    <w:pPr>
      <w:adjustRightInd w:val="0"/>
      <w:snapToGrid w:val="0"/>
      <w:spacing w:line="560" w:lineRule="exact"/>
      <w:ind w:firstLine="602" w:firstLineChars="200"/>
    </w:pPr>
    <w:rPr>
      <w:rFonts w:eastAsiaTheme="minorEastAsia" w:cstheme="minorBidi"/>
      <w:snapToGrid w:val="0"/>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5042</Words>
  <Characters>5242</Characters>
  <Lines>37</Lines>
  <Paragraphs>10</Paragraphs>
  <TotalTime>2</TotalTime>
  <ScaleCrop>false</ScaleCrop>
  <LinksUpToDate>false</LinksUpToDate>
  <CharactersWithSpaces>5253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2021-04-07T08:01:00Z</dcterms:created>
  <dc:creator>翘楚</dc:creator>
  <cp:lastModifiedBy>Administrator</cp:lastModifiedBy>
  <dcterms:modified xsi:type="dcterms:W3CDTF">2015-01-16T19:16:36Z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DFF0787588C34603A74FA104BC3FC087</vt:lpwstr>
  </property>
</Properties>
</file>