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Arial"/>
          <w:b/>
          <w:bCs/>
          <w:color w:val="auto"/>
          <w:sz w:val="48"/>
          <w:szCs w:val="48"/>
        </w:rPr>
      </w:pPr>
    </w:p>
    <w:p>
      <w:pPr>
        <w:jc w:val="center"/>
        <w:rPr>
          <w:rFonts w:ascii="宋体" w:hAnsi="宋体" w:eastAsia="宋体" w:cs="Arial"/>
          <w:b/>
          <w:bCs/>
          <w:color w:val="auto"/>
          <w:sz w:val="48"/>
          <w:szCs w:val="48"/>
        </w:rPr>
      </w:pPr>
    </w:p>
    <w:p>
      <w:pPr>
        <w:jc w:val="center"/>
        <w:rPr>
          <w:rFonts w:ascii="宋体" w:hAnsi="宋体" w:eastAsia="宋体" w:cs="Arial"/>
          <w:b/>
          <w:bCs/>
          <w:color w:val="auto"/>
          <w:sz w:val="48"/>
          <w:szCs w:val="48"/>
        </w:rPr>
      </w:pPr>
    </w:p>
    <w:p>
      <w:pPr>
        <w:jc w:val="center"/>
        <w:rPr>
          <w:rFonts w:ascii="宋体" w:hAnsi="宋体" w:eastAsia="宋体" w:cs="Arial"/>
          <w:b/>
          <w:bCs/>
          <w:color w:val="auto"/>
          <w:sz w:val="52"/>
          <w:szCs w:val="52"/>
        </w:rPr>
      </w:pPr>
      <w:r>
        <w:rPr>
          <w:rFonts w:hint="eastAsia" w:ascii="宋体" w:hAnsi="宋体" w:eastAsia="宋体" w:cs="Arial"/>
          <w:b/>
          <w:bCs/>
          <w:color w:val="auto"/>
          <w:sz w:val="52"/>
          <w:szCs w:val="52"/>
          <w:lang w:val="en-US" w:eastAsia="zh-CN"/>
        </w:rPr>
        <w:t>县级领导差费</w:t>
      </w:r>
      <w:r>
        <w:rPr>
          <w:rFonts w:hint="eastAsia" w:ascii="宋体" w:hAnsi="宋体" w:eastAsia="宋体" w:cs="Arial"/>
          <w:b/>
          <w:bCs/>
          <w:color w:val="auto"/>
          <w:sz w:val="52"/>
          <w:szCs w:val="52"/>
        </w:rPr>
        <w:t>项目支出绩效评价报告</w:t>
      </w:r>
    </w:p>
    <w:p>
      <w:pPr>
        <w:jc w:val="center"/>
        <w:rPr>
          <w:rFonts w:ascii="宋体" w:hAnsi="宋体" w:eastAsia="宋体" w:cs="Arial"/>
          <w:b/>
          <w:bCs/>
          <w:color w:val="auto"/>
          <w:sz w:val="48"/>
          <w:szCs w:val="48"/>
        </w:rPr>
      </w:pPr>
    </w:p>
    <w:p>
      <w:pPr>
        <w:widowControl/>
        <w:spacing w:line="560" w:lineRule="exact"/>
        <w:jc w:val="center"/>
        <w:rPr>
          <w:rFonts w:ascii="仿宋_GB2312" w:hAnsi="仿宋_GB2312" w:cs="仿宋_GB2312"/>
          <w:b/>
          <w:color w:val="auto"/>
          <w:kern w:val="0"/>
          <w:sz w:val="50"/>
          <w:szCs w:val="50"/>
          <w:lang w:bidi="en-US"/>
        </w:rPr>
      </w:pPr>
      <w:r>
        <w:rPr>
          <w:rFonts w:hint="eastAsia" w:ascii="方正小标宋简体" w:hAnsi="方正小标宋简体" w:eastAsia="方正小标宋简体" w:cs="方正小标宋简体"/>
          <w:color w:val="auto"/>
          <w:kern w:val="0"/>
          <w:sz w:val="36"/>
          <w:szCs w:val="36"/>
        </w:rPr>
        <w:t>（</w:t>
      </w:r>
      <w:r>
        <w:rPr>
          <w:rFonts w:hint="eastAsia" w:ascii="方正小标宋简体" w:hAnsi="方正小标宋简体" w:eastAsia="方正小标宋简体" w:cs="方正小标宋简体"/>
          <w:color w:val="auto"/>
          <w:kern w:val="0"/>
          <w:sz w:val="36"/>
          <w:szCs w:val="36"/>
          <w:lang w:val="en-US" w:eastAsia="zh-CN"/>
        </w:rPr>
        <w:t>2023</w:t>
      </w:r>
      <w:r>
        <w:rPr>
          <w:rFonts w:hint="eastAsia" w:ascii="方正小标宋简体" w:hAnsi="方正小标宋简体" w:eastAsia="方正小标宋简体" w:cs="方正小标宋简体"/>
          <w:color w:val="auto"/>
          <w:kern w:val="0"/>
          <w:sz w:val="36"/>
          <w:szCs w:val="36"/>
        </w:rPr>
        <w:t>年度）</w:t>
      </w:r>
    </w:p>
    <w:p>
      <w:pPr>
        <w:spacing w:line="480" w:lineRule="auto"/>
        <w:jc w:val="center"/>
        <w:rPr>
          <w:rFonts w:ascii="仿宋_GB2312" w:hAnsi="仿宋_GB2312" w:cs="仿宋_GB2312"/>
          <w:b/>
          <w:color w:val="auto"/>
          <w:kern w:val="0"/>
          <w:sz w:val="50"/>
          <w:szCs w:val="50"/>
          <w:lang w:bidi="en-US"/>
        </w:rPr>
      </w:pPr>
    </w:p>
    <w:p>
      <w:pPr>
        <w:spacing w:line="480" w:lineRule="auto"/>
        <w:jc w:val="center"/>
        <w:rPr>
          <w:rFonts w:ascii="仿宋_GB2312" w:hAnsi="仿宋_GB2312" w:cs="仿宋_GB2312"/>
          <w:b/>
          <w:color w:val="auto"/>
          <w:kern w:val="0"/>
          <w:sz w:val="50"/>
          <w:szCs w:val="50"/>
          <w:lang w:bidi="en-US"/>
        </w:rPr>
      </w:pPr>
    </w:p>
    <w:p>
      <w:pPr>
        <w:spacing w:line="480" w:lineRule="auto"/>
        <w:jc w:val="center"/>
        <w:rPr>
          <w:rFonts w:ascii="仿宋_GB2312" w:hAnsi="仿宋_GB2312" w:cs="仿宋_GB2312"/>
          <w:b/>
          <w:color w:val="auto"/>
          <w:kern w:val="0"/>
          <w:sz w:val="50"/>
          <w:szCs w:val="50"/>
          <w:lang w:bidi="en-US"/>
        </w:rPr>
      </w:pPr>
    </w:p>
    <w:p>
      <w:pPr>
        <w:spacing w:line="480" w:lineRule="auto"/>
        <w:jc w:val="center"/>
        <w:rPr>
          <w:rFonts w:ascii="仿宋_GB2312" w:hAnsi="仿宋_GB2312" w:cs="仿宋_GB2312"/>
          <w:b/>
          <w:color w:val="auto"/>
          <w:kern w:val="0"/>
          <w:sz w:val="50"/>
          <w:szCs w:val="50"/>
          <w:lang w:bidi="en-US"/>
        </w:rPr>
      </w:pPr>
    </w:p>
    <w:p>
      <w:pPr>
        <w:spacing w:line="480" w:lineRule="auto"/>
        <w:jc w:val="center"/>
        <w:rPr>
          <w:rFonts w:ascii="仿宋_GB2312" w:hAnsi="仿宋_GB2312" w:cs="仿宋_GB2312"/>
          <w:b/>
          <w:color w:val="auto"/>
          <w:kern w:val="0"/>
          <w:sz w:val="50"/>
          <w:szCs w:val="50"/>
          <w:lang w:bidi="en-US"/>
        </w:rPr>
      </w:pPr>
    </w:p>
    <w:p>
      <w:pPr>
        <w:spacing w:line="560" w:lineRule="exact"/>
        <w:ind w:firstLine="321" w:firstLineChars="100"/>
        <w:rPr>
          <w:rFonts w:hint="default" w:ascii="Times New Roman" w:hAnsi="Times New Roman" w:eastAsia="宋体" w:cs="Times New Roman"/>
          <w:b/>
          <w:bCs/>
          <w:color w:val="auto"/>
          <w:kern w:val="0"/>
          <w:sz w:val="32"/>
          <w:szCs w:val="32"/>
          <w:lang w:val="en-US" w:eastAsia="zh-CN"/>
        </w:rPr>
      </w:pPr>
      <w:r>
        <w:rPr>
          <w:rFonts w:hint="eastAsia" w:ascii="宋体" w:hAnsi="宋体" w:eastAsia="宋体" w:cs="仿宋_GB2312"/>
          <w:b/>
          <w:bCs/>
          <w:color w:val="auto"/>
          <w:kern w:val="0"/>
          <w:sz w:val="32"/>
          <w:szCs w:val="32"/>
        </w:rPr>
        <w:t>项目名称：</w:t>
      </w:r>
      <w:r>
        <w:rPr>
          <w:rFonts w:ascii="宋体" w:hAnsi="宋体" w:eastAsia="宋体" w:cs="宋体"/>
          <w:color w:val="auto"/>
          <w:kern w:val="0"/>
          <w:sz w:val="32"/>
          <w:szCs w:val="32"/>
        </w:rPr>
        <w:t xml:space="preserve"> </w:t>
      </w:r>
      <w:bookmarkStart w:id="19" w:name="_GoBack"/>
      <w:r>
        <w:rPr>
          <w:rFonts w:hint="default" w:ascii="Times New Roman" w:hAnsi="Times New Roman" w:eastAsia="宋体" w:cs="Times New Roman"/>
          <w:b/>
          <w:bCs/>
          <w:color w:val="auto"/>
          <w:kern w:val="0"/>
          <w:sz w:val="32"/>
          <w:szCs w:val="32"/>
          <w:lang w:val="en-US" w:eastAsia="zh-CN"/>
        </w:rPr>
        <w:t>县级领导差费</w:t>
      </w:r>
      <w:bookmarkEnd w:id="19"/>
    </w:p>
    <w:p>
      <w:pPr>
        <w:spacing w:line="560" w:lineRule="exact"/>
        <w:ind w:firstLine="321" w:firstLineChars="100"/>
        <w:rPr>
          <w:rFonts w:ascii="宋体" w:hAnsi="宋体" w:eastAsia="宋体" w:cs="宋体"/>
          <w:color w:val="auto"/>
          <w:kern w:val="0"/>
          <w:sz w:val="32"/>
          <w:szCs w:val="32"/>
        </w:rPr>
      </w:pPr>
      <w:r>
        <w:rPr>
          <w:rFonts w:hint="eastAsia" w:ascii="宋体" w:hAnsi="宋体" w:eastAsia="宋体" w:cs="仿宋_GB2312"/>
          <w:b/>
          <w:bCs/>
          <w:color w:val="auto"/>
          <w:kern w:val="0"/>
          <w:sz w:val="32"/>
          <w:szCs w:val="32"/>
        </w:rPr>
        <w:t>实施单位（公章）：</w:t>
      </w:r>
      <w:r>
        <w:rPr>
          <w:rFonts w:hint="default" w:ascii="Times New Roman" w:hAnsi="Times New Roman" w:eastAsia="宋体" w:cs="Times New Roman"/>
          <w:b/>
          <w:bCs/>
          <w:color w:val="auto"/>
          <w:kern w:val="0"/>
          <w:sz w:val="32"/>
          <w:szCs w:val="32"/>
          <w:lang w:val="en-US" w:eastAsia="zh-CN"/>
        </w:rPr>
        <w:t>且末县</w:t>
      </w:r>
      <w:r>
        <w:rPr>
          <w:rFonts w:hint="eastAsia" w:eastAsia="宋体" w:cs="Times New Roman"/>
          <w:b/>
          <w:bCs/>
          <w:color w:val="auto"/>
          <w:kern w:val="0"/>
          <w:sz w:val="32"/>
          <w:szCs w:val="32"/>
          <w:lang w:val="en-US" w:eastAsia="zh-CN"/>
        </w:rPr>
        <w:t>人民政府</w:t>
      </w:r>
      <w:r>
        <w:rPr>
          <w:rFonts w:hint="default" w:ascii="Times New Roman" w:hAnsi="Times New Roman" w:eastAsia="宋体" w:cs="Times New Roman"/>
          <w:b/>
          <w:bCs/>
          <w:color w:val="auto"/>
          <w:kern w:val="0"/>
          <w:sz w:val="32"/>
          <w:szCs w:val="32"/>
          <w:lang w:val="en-US" w:eastAsia="zh-CN"/>
        </w:rPr>
        <w:t>办公室</w:t>
      </w:r>
      <w:r>
        <w:rPr>
          <w:rFonts w:hint="default" w:ascii="Times New Roman" w:hAnsi="Times New Roman" w:eastAsia="宋体" w:cs="Times New Roman"/>
          <w:color w:val="auto"/>
          <w:kern w:val="0"/>
          <w:sz w:val="32"/>
          <w:szCs w:val="32"/>
        </w:rPr>
        <w:t xml:space="preserve"> </w:t>
      </w:r>
      <w:r>
        <w:rPr>
          <w:rFonts w:ascii="宋体" w:hAnsi="宋体" w:eastAsia="宋体" w:cs="宋体"/>
          <w:color w:val="auto"/>
          <w:kern w:val="0"/>
          <w:sz w:val="32"/>
          <w:szCs w:val="32"/>
        </w:rPr>
        <w:t xml:space="preserve"> </w:t>
      </w:r>
    </w:p>
    <w:p>
      <w:pPr>
        <w:spacing w:line="560" w:lineRule="exact"/>
        <w:ind w:firstLine="321" w:firstLineChars="100"/>
        <w:rPr>
          <w:rFonts w:ascii="宋体" w:hAnsi="宋体" w:eastAsia="宋体" w:cs="宋体"/>
          <w:color w:val="auto"/>
          <w:kern w:val="0"/>
          <w:sz w:val="32"/>
          <w:szCs w:val="32"/>
        </w:rPr>
      </w:pPr>
      <w:r>
        <w:rPr>
          <w:rFonts w:hint="eastAsia" w:ascii="宋体" w:hAnsi="宋体" w:eastAsia="宋体" w:cs="仿宋_GB2312"/>
          <w:b/>
          <w:bCs/>
          <w:color w:val="auto"/>
          <w:kern w:val="0"/>
          <w:sz w:val="32"/>
          <w:szCs w:val="32"/>
        </w:rPr>
        <w:t>主管部门（公章）：</w:t>
      </w:r>
      <w:r>
        <w:rPr>
          <w:rFonts w:hint="default" w:ascii="Times New Roman" w:hAnsi="Times New Roman" w:eastAsia="宋体" w:cs="Times New Roman"/>
          <w:b/>
          <w:bCs/>
          <w:color w:val="auto"/>
          <w:kern w:val="0"/>
          <w:sz w:val="32"/>
          <w:szCs w:val="32"/>
          <w:lang w:val="en-US" w:eastAsia="zh-CN"/>
        </w:rPr>
        <w:t>且末县</w:t>
      </w:r>
      <w:r>
        <w:rPr>
          <w:rFonts w:hint="eastAsia" w:eastAsia="宋体" w:cs="Times New Roman"/>
          <w:b/>
          <w:bCs/>
          <w:color w:val="auto"/>
          <w:kern w:val="0"/>
          <w:sz w:val="32"/>
          <w:szCs w:val="32"/>
          <w:lang w:val="en-US" w:eastAsia="zh-CN"/>
        </w:rPr>
        <w:t>人民政府</w:t>
      </w:r>
      <w:r>
        <w:rPr>
          <w:rFonts w:hint="default" w:ascii="Times New Roman" w:hAnsi="Times New Roman" w:eastAsia="宋体" w:cs="Times New Roman"/>
          <w:b/>
          <w:bCs/>
          <w:color w:val="auto"/>
          <w:kern w:val="0"/>
          <w:sz w:val="32"/>
          <w:szCs w:val="32"/>
          <w:lang w:val="en-US" w:eastAsia="zh-CN"/>
        </w:rPr>
        <w:t>办公室</w:t>
      </w:r>
      <w:r>
        <w:rPr>
          <w:rFonts w:ascii="宋体" w:hAnsi="宋体" w:eastAsia="宋体" w:cs="宋体"/>
          <w:color w:val="auto"/>
          <w:kern w:val="0"/>
          <w:sz w:val="32"/>
          <w:szCs w:val="32"/>
        </w:rPr>
        <w:t xml:space="preserve"> </w:t>
      </w:r>
    </w:p>
    <w:p>
      <w:pPr>
        <w:spacing w:line="560" w:lineRule="exact"/>
        <w:ind w:firstLine="321" w:firstLineChars="100"/>
        <w:rPr>
          <w:rFonts w:ascii="宋体" w:hAnsi="宋体" w:eastAsia="宋体" w:cs="宋体"/>
          <w:color w:val="auto"/>
          <w:kern w:val="0"/>
          <w:sz w:val="32"/>
          <w:szCs w:val="32"/>
        </w:rPr>
      </w:pPr>
      <w:r>
        <w:rPr>
          <w:rFonts w:hint="eastAsia" w:ascii="宋体" w:hAnsi="宋体" w:eastAsia="宋体" w:cs="仿宋_GB2312"/>
          <w:b/>
          <w:bCs/>
          <w:color w:val="auto"/>
          <w:kern w:val="0"/>
          <w:sz w:val="32"/>
          <w:szCs w:val="32"/>
        </w:rPr>
        <w:t>项目负责人（签章）：</w:t>
      </w:r>
      <w:r>
        <w:rPr>
          <w:rFonts w:hint="eastAsia" w:eastAsia="宋体" w:cs="Times New Roman"/>
          <w:b/>
          <w:bCs/>
          <w:color w:val="auto"/>
          <w:kern w:val="0"/>
          <w:sz w:val="32"/>
          <w:szCs w:val="32"/>
          <w:lang w:val="en-US" w:eastAsia="zh-CN"/>
        </w:rPr>
        <w:t>杨华</w:t>
      </w:r>
    </w:p>
    <w:p>
      <w:pPr>
        <w:spacing w:line="560" w:lineRule="exact"/>
        <w:ind w:firstLine="321" w:firstLineChars="100"/>
        <w:rPr>
          <w:rFonts w:ascii="宋体" w:hAnsi="宋体" w:eastAsia="宋体" w:cs="仿宋_GB2312"/>
          <w:color w:val="auto"/>
          <w:kern w:val="0"/>
          <w:sz w:val="32"/>
          <w:szCs w:val="32"/>
        </w:rPr>
      </w:pPr>
      <w:r>
        <w:rPr>
          <w:rFonts w:hint="eastAsia" w:ascii="宋体" w:hAnsi="宋体" w:eastAsia="宋体" w:cs="仿宋_GB2312"/>
          <w:b/>
          <w:bCs/>
          <w:color w:val="auto"/>
          <w:kern w:val="0"/>
          <w:sz w:val="32"/>
          <w:szCs w:val="32"/>
        </w:rPr>
        <w:t>填报时间：</w:t>
      </w:r>
      <w:r>
        <w:rPr>
          <w:rFonts w:hint="default" w:ascii="Times New Roman" w:hAnsi="Times New Roman" w:eastAsia="宋体" w:cs="Times New Roman"/>
          <w:color w:val="auto"/>
          <w:kern w:val="0"/>
          <w:sz w:val="32"/>
          <w:szCs w:val="32"/>
          <w:lang w:val="en-US" w:eastAsia="zh-CN"/>
        </w:rPr>
        <w:t>202</w:t>
      </w:r>
      <w:r>
        <w:rPr>
          <w:rFonts w:hint="eastAsia" w:ascii="Times New Roman" w:hAnsi="Times New Roman" w:eastAsia="宋体" w:cs="Times New Roman"/>
          <w:color w:val="auto"/>
          <w:kern w:val="0"/>
          <w:sz w:val="32"/>
          <w:szCs w:val="32"/>
          <w:lang w:val="en-US" w:eastAsia="zh-CN"/>
        </w:rPr>
        <w:t>3</w:t>
      </w:r>
      <w:r>
        <w:rPr>
          <w:rFonts w:hint="default" w:ascii="Times New Roman" w:hAnsi="Times New Roman" w:eastAsia="宋体" w:cs="Times New Roman"/>
          <w:color w:val="auto"/>
          <w:kern w:val="0"/>
          <w:sz w:val="32"/>
          <w:szCs w:val="32"/>
        </w:rPr>
        <w:t>年</w:t>
      </w:r>
      <w:r>
        <w:rPr>
          <w:rFonts w:hint="eastAsia" w:ascii="Times New Roman" w:hAnsi="Times New Roman" w:eastAsia="宋体" w:cs="Times New Roman"/>
          <w:color w:val="auto"/>
          <w:kern w:val="0"/>
          <w:sz w:val="32"/>
          <w:szCs w:val="32"/>
          <w:lang w:val="en-US" w:eastAsia="zh-CN"/>
        </w:rPr>
        <w:t>3</w:t>
      </w:r>
      <w:r>
        <w:rPr>
          <w:rFonts w:hint="default" w:ascii="Times New Roman" w:hAnsi="Times New Roman" w:eastAsia="宋体" w:cs="Times New Roman"/>
          <w:color w:val="auto"/>
          <w:kern w:val="0"/>
          <w:sz w:val="32"/>
          <w:szCs w:val="32"/>
        </w:rPr>
        <w:t>月</w:t>
      </w:r>
      <w:r>
        <w:rPr>
          <w:rFonts w:hint="eastAsia" w:ascii="Times New Roman" w:hAnsi="Times New Roman" w:eastAsia="宋体" w:cs="Times New Roman"/>
          <w:color w:val="auto"/>
          <w:kern w:val="0"/>
          <w:sz w:val="32"/>
          <w:szCs w:val="32"/>
          <w:lang w:val="en-US" w:eastAsia="zh-CN"/>
        </w:rPr>
        <w:t>30</w:t>
      </w:r>
      <w:r>
        <w:rPr>
          <w:rFonts w:hint="default" w:ascii="Times New Roman" w:hAnsi="Times New Roman" w:eastAsia="宋体" w:cs="Times New Roman"/>
          <w:color w:val="auto"/>
          <w:kern w:val="0"/>
          <w:sz w:val="32"/>
          <w:szCs w:val="32"/>
        </w:rPr>
        <w:t>日</w:t>
      </w:r>
    </w:p>
    <w:p>
      <w:pPr>
        <w:jc w:val="center"/>
        <w:rPr>
          <w:rFonts w:ascii="宋体" w:hAnsi="宋体" w:eastAsia="宋体" w:cs="Arial"/>
          <w:b/>
          <w:bCs/>
          <w:color w:val="auto"/>
          <w:sz w:val="36"/>
          <w:szCs w:val="36"/>
        </w:rPr>
      </w:pPr>
    </w:p>
    <w:p>
      <w:pPr>
        <w:widowControl/>
        <w:jc w:val="left"/>
        <w:rPr>
          <w:rFonts w:ascii="宋体" w:hAnsi="宋体" w:eastAsia="宋体" w:cs="Arial"/>
          <w:b/>
          <w:bCs/>
          <w:color w:val="auto"/>
          <w:sz w:val="36"/>
          <w:szCs w:val="36"/>
        </w:rPr>
      </w:pPr>
      <w:r>
        <w:rPr>
          <w:rFonts w:ascii="宋体" w:hAnsi="宋体" w:eastAsia="宋体" w:cs="Arial"/>
          <w:b/>
          <w:bCs/>
          <w:color w:val="auto"/>
          <w:sz w:val="36"/>
          <w:szCs w:val="36"/>
        </w:rPr>
        <w:br w:type="page"/>
      </w:r>
    </w:p>
    <w:p>
      <w:pPr>
        <w:pageBreakBefore w:val="0"/>
        <w:widowControl w:val="0"/>
        <w:kinsoku/>
        <w:wordWrap/>
        <w:overflowPunct/>
        <w:topLinePunct w:val="0"/>
        <w:autoSpaceDE/>
        <w:autoSpaceDN/>
        <w:bidi w:val="0"/>
        <w:adjustRightInd/>
        <w:snapToGrid/>
        <w:spacing w:line="560" w:lineRule="atLeast"/>
        <w:jc w:val="center"/>
        <w:textAlignment w:val="auto"/>
        <w:rPr>
          <w:rFonts w:ascii="Arial" w:hAnsi="Arial" w:eastAsia="宋体" w:cs="Arial"/>
          <w:b/>
          <w:bCs/>
          <w:color w:val="auto"/>
          <w:sz w:val="36"/>
          <w:szCs w:val="36"/>
        </w:rPr>
      </w:pPr>
      <w:r>
        <w:rPr>
          <w:rFonts w:hint="eastAsia" w:ascii="宋体" w:hAnsi="宋体" w:eastAsia="宋体" w:cs="Arial"/>
          <w:b/>
          <w:bCs/>
          <w:color w:val="auto"/>
          <w:sz w:val="36"/>
          <w:szCs w:val="36"/>
        </w:rPr>
        <w:t xml:space="preserve"> </w:t>
      </w:r>
      <w:r>
        <w:rPr>
          <w:rFonts w:hint="eastAsia" w:ascii="宋体" w:hAnsi="宋体" w:eastAsia="宋体" w:cs="Arial"/>
          <w:b/>
          <w:bCs/>
          <w:color w:val="auto"/>
          <w:sz w:val="36"/>
          <w:szCs w:val="36"/>
          <w:lang w:val="en-US" w:eastAsia="zh-CN"/>
        </w:rPr>
        <w:t>县级领导差费</w:t>
      </w:r>
      <w:r>
        <w:rPr>
          <w:rFonts w:hint="eastAsia" w:ascii="宋体" w:hAnsi="宋体" w:eastAsia="宋体" w:cs="Arial"/>
          <w:b/>
          <w:bCs/>
          <w:color w:val="auto"/>
          <w:sz w:val="36"/>
          <w:szCs w:val="36"/>
        </w:rPr>
        <w:t>项目支出</w:t>
      </w:r>
      <w:r>
        <w:rPr>
          <w:rFonts w:ascii="宋体" w:hAnsi="宋体" w:eastAsia="宋体" w:cs="Arial"/>
          <w:b/>
          <w:bCs/>
          <w:color w:val="auto"/>
          <w:sz w:val="36"/>
          <w:szCs w:val="36"/>
        </w:rPr>
        <w:t>绩效</w:t>
      </w:r>
      <w:r>
        <w:rPr>
          <w:rFonts w:hint="eastAsia" w:ascii="宋体" w:hAnsi="宋体" w:eastAsia="宋体" w:cs="Arial"/>
          <w:b/>
          <w:bCs/>
          <w:color w:val="auto"/>
          <w:sz w:val="36"/>
          <w:szCs w:val="36"/>
        </w:rPr>
        <w:t>评价报告</w:t>
      </w:r>
    </w:p>
    <w:p>
      <w:pPr>
        <w:pStyle w:val="3"/>
        <w:pageBreakBefore w:val="0"/>
        <w:widowControl w:val="0"/>
        <w:kinsoku/>
        <w:wordWrap/>
        <w:overflowPunct/>
        <w:topLinePunct w:val="0"/>
        <w:autoSpaceDE/>
        <w:autoSpaceDN/>
        <w:bidi w:val="0"/>
        <w:adjustRightInd/>
        <w:snapToGrid/>
        <w:spacing w:line="560" w:lineRule="atLeast"/>
        <w:textAlignment w:val="auto"/>
        <w:rPr>
          <w:rFonts w:ascii="宋体" w:hAnsi="宋体" w:eastAsia="宋体"/>
          <w:color w:val="auto"/>
          <w:sz w:val="32"/>
          <w:szCs w:val="32"/>
        </w:rPr>
      </w:pPr>
      <w:bookmarkStart w:id="0" w:name="_Toc68703827"/>
      <w:r>
        <w:rPr>
          <w:rFonts w:hint="eastAsia" w:ascii="宋体" w:hAnsi="宋体" w:eastAsia="宋体"/>
          <w:color w:val="auto"/>
          <w:sz w:val="32"/>
          <w:szCs w:val="32"/>
        </w:rPr>
        <w:t>一、基本情况</w:t>
      </w:r>
      <w:bookmarkEnd w:id="0"/>
    </w:p>
    <w:p>
      <w:pPr>
        <w:pStyle w:val="4"/>
        <w:spacing w:line="360" w:lineRule="auto"/>
        <w:rPr>
          <w:rFonts w:ascii="仿宋_GB2312" w:eastAsia="仿宋_GB2312"/>
          <w:b w:val="0"/>
          <w:bCs w:val="0"/>
          <w:color w:val="auto"/>
        </w:rPr>
      </w:pPr>
      <w:bookmarkStart w:id="1" w:name="_Toc68703828"/>
      <w:r>
        <w:rPr>
          <w:rFonts w:hint="eastAsia" w:ascii="仿宋_GB2312" w:eastAsia="仿宋_GB2312"/>
          <w:b w:val="0"/>
          <w:bCs w:val="0"/>
          <w:color w:val="auto"/>
        </w:rPr>
        <w:t>（一）项目概况。</w:t>
      </w:r>
      <w:bookmarkEnd w:id="1"/>
    </w:p>
    <w:p>
      <w:pPr>
        <w:pageBreakBefore w:val="0"/>
        <w:kinsoku/>
        <w:wordWrap/>
        <w:overflowPunct/>
        <w:topLinePunct w:val="0"/>
        <w:autoSpaceDE/>
        <w:autoSpaceDN/>
        <w:bidi w:val="0"/>
        <w:adjustRightInd/>
        <w:snapToGrid/>
        <w:spacing w:line="540" w:lineRule="exact"/>
        <w:ind w:firstLine="640" w:firstLineChars="200"/>
        <w:jc w:val="both"/>
        <w:outlineLvl w:val="0"/>
        <w:rPr>
          <w:rFonts w:hint="default" w:ascii="Times New Roman" w:hAnsi="Times New Roman" w:eastAsia="方正楷体_GBK" w:cs="Times New Roman"/>
          <w:b w:val="0"/>
          <w:bCs w:val="0"/>
          <w:kern w:val="2"/>
          <w:sz w:val="32"/>
          <w:szCs w:val="32"/>
          <w:lang w:val="en-US" w:eastAsia="zh-CN" w:bidi="ar-SA"/>
        </w:rPr>
      </w:pPr>
      <w:bookmarkStart w:id="2" w:name="_Toc68703829"/>
      <w:r>
        <w:rPr>
          <w:rFonts w:hint="default" w:ascii="Times New Roman" w:hAnsi="Times New Roman" w:eastAsia="方正楷体_GBK" w:cs="Times New Roman"/>
          <w:b w:val="0"/>
          <w:bCs w:val="0"/>
          <w:kern w:val="2"/>
          <w:sz w:val="32"/>
          <w:szCs w:val="32"/>
          <w:lang w:val="en-US" w:eastAsia="zh-CN" w:bidi="ar-SA"/>
        </w:rPr>
        <w:t>1.项目背景，主要内容及实施情况</w:t>
      </w:r>
    </w:p>
    <w:p>
      <w:pPr>
        <w:pageBreakBefore w:val="0"/>
        <w:kinsoku/>
        <w:wordWrap/>
        <w:overflowPunct/>
        <w:topLinePunct w:val="0"/>
        <w:autoSpaceDE/>
        <w:autoSpaceDN/>
        <w:bidi w:val="0"/>
        <w:adjustRightInd/>
        <w:snapToGrid/>
        <w:spacing w:line="540" w:lineRule="exact"/>
        <w:ind w:firstLine="640" w:firstLineChars="200"/>
        <w:jc w:val="both"/>
        <w:outlineLvl w:val="0"/>
        <w:rPr>
          <w:rFonts w:hint="default" w:ascii="Times New Roman" w:hAnsi="Times New Roman" w:eastAsia="方正楷体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（1）项目背景</w:t>
      </w:r>
    </w:p>
    <w:p>
      <w:pPr>
        <w:pageBreakBefore w:val="0"/>
        <w:kinsoku/>
        <w:wordWrap/>
        <w:overflowPunct/>
        <w:topLinePunct w:val="0"/>
        <w:autoSpaceDE/>
        <w:autoSpaceDN/>
        <w:bidi w:val="0"/>
        <w:adjustRightInd/>
        <w:snapToGrid/>
        <w:spacing w:line="540" w:lineRule="exact"/>
        <w:ind w:firstLine="600" w:firstLineChars="200"/>
        <w:jc w:val="both"/>
        <w:outlineLvl w:val="0"/>
        <w:rPr>
          <w:rFonts w:hint="default" w:ascii="Times New Roman" w:hAnsi="Times New Roman" w:eastAsia="仿宋_GB2312" w:cs="Times New Roman"/>
          <w:highlight w:val="none"/>
          <w:lang w:val="en-US" w:eastAsia="zh-CN"/>
        </w:rPr>
      </w:pPr>
      <w:r>
        <w:rPr>
          <w:rFonts w:hint="default" w:ascii="Times New Roman" w:hAnsi="Times New Roman" w:cs="Times New Roman"/>
          <w:highlight w:val="none"/>
          <w:lang w:val="en-US" w:eastAsia="zh-CN"/>
        </w:rPr>
        <w:t xml:space="preserve">   </w:t>
      </w:r>
      <w:r>
        <w:rPr>
          <w:rFonts w:hint="default" w:ascii="Times New Roman" w:hAnsi="Times New Roman" w:eastAsia="方正仿宋_GBK" w:cs="Times New Roman"/>
          <w:sz w:val="32"/>
          <w:szCs w:val="32"/>
        </w:rPr>
        <w:t>该项目属于财政全额拨款，</w:t>
      </w:r>
      <w:r>
        <w:rPr>
          <w:rFonts w:hint="default" w:ascii="Times New Roman" w:hAnsi="Times New Roman" w:eastAsia="方正仿宋_GBK" w:cs="Times New Roman"/>
          <w:sz w:val="32"/>
          <w:szCs w:val="32"/>
          <w:lang w:eastAsia="zh-CN"/>
        </w:rPr>
        <w:t>根据且末县委办公室县级领导公务出差工作安排，开展全年差费报销工作。</w:t>
      </w:r>
    </w:p>
    <w:p>
      <w:pPr>
        <w:pageBreakBefore w:val="0"/>
        <w:kinsoku/>
        <w:wordWrap/>
        <w:overflowPunct/>
        <w:topLinePunct w:val="0"/>
        <w:autoSpaceDE/>
        <w:autoSpaceDN/>
        <w:bidi w:val="0"/>
        <w:adjustRightInd/>
        <w:snapToGrid/>
        <w:spacing w:line="540" w:lineRule="exact"/>
        <w:ind w:firstLine="640" w:firstLineChars="200"/>
        <w:jc w:val="both"/>
        <w:outlineLvl w:val="0"/>
        <w:rPr>
          <w:rFonts w:hint="default" w:ascii="Times New Roman" w:hAnsi="Times New Roman" w:eastAsia="方正楷体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（2）主要内容及实施情况</w:t>
      </w:r>
    </w:p>
    <w:p>
      <w:pPr>
        <w:pageBreakBefore w:val="0"/>
        <w:kinsoku/>
        <w:wordWrap/>
        <w:overflowPunct/>
        <w:topLinePunct w:val="0"/>
        <w:autoSpaceDE/>
        <w:autoSpaceDN/>
        <w:bidi w:val="0"/>
        <w:adjustRightInd/>
        <w:snapToGrid/>
        <w:spacing w:line="540" w:lineRule="exact"/>
        <w:ind w:firstLine="640" w:firstLineChars="200"/>
        <w:jc w:val="both"/>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主要内容：</w:t>
      </w:r>
      <w:r>
        <w:rPr>
          <w:rFonts w:hint="default" w:ascii="Times New Roman" w:hAnsi="Times New Roman" w:eastAsia="方正仿宋_GBK" w:cs="Times New Roman"/>
          <w:sz w:val="32"/>
          <w:szCs w:val="32"/>
          <w:lang w:val="en-US" w:eastAsia="zh-CN"/>
        </w:rPr>
        <w:t>该项目主要内容反映县级领导公务出差报销情况。</w:t>
      </w:r>
    </w:p>
    <w:p>
      <w:pPr>
        <w:pageBreakBefore w:val="0"/>
        <w:kinsoku/>
        <w:wordWrap/>
        <w:overflowPunct/>
        <w:topLinePunct w:val="0"/>
        <w:autoSpaceDE/>
        <w:autoSpaceDN/>
        <w:bidi w:val="0"/>
        <w:adjustRightInd/>
        <w:snapToGrid/>
        <w:spacing w:line="540" w:lineRule="exact"/>
        <w:ind w:firstLine="640" w:firstLineChars="200"/>
        <w:jc w:val="both"/>
        <w:outlineLvl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实施情况：</w:t>
      </w:r>
      <w:r>
        <w:rPr>
          <w:rFonts w:hint="default" w:ascii="Times New Roman" w:hAnsi="Times New Roman" w:eastAsia="方正仿宋_GBK" w:cs="Times New Roman"/>
          <w:sz w:val="32"/>
          <w:szCs w:val="32"/>
          <w:lang w:val="en-US" w:eastAsia="zh-CN"/>
        </w:rPr>
        <w:t>该项目主要内容反映县级领导公务出差报销情况,执行数21.6万元。</w:t>
      </w:r>
    </w:p>
    <w:p>
      <w:pPr>
        <w:pageBreakBefore w:val="0"/>
        <w:kinsoku/>
        <w:wordWrap/>
        <w:overflowPunct/>
        <w:topLinePunct w:val="0"/>
        <w:autoSpaceDE/>
        <w:autoSpaceDN/>
        <w:bidi w:val="0"/>
        <w:adjustRightInd/>
        <w:snapToGrid/>
        <w:spacing w:line="540" w:lineRule="exact"/>
        <w:ind w:firstLine="640" w:firstLineChars="200"/>
        <w:jc w:val="both"/>
        <w:outlineLvl w:val="0"/>
        <w:rPr>
          <w:rFonts w:hint="default" w:ascii="Times New Roman" w:hAnsi="Times New Roman" w:eastAsia="方正楷体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2.资金投入和使用情况</w:t>
      </w:r>
    </w:p>
    <w:p>
      <w:pPr>
        <w:pageBreakBefore w:val="0"/>
        <w:kinsoku/>
        <w:wordWrap/>
        <w:overflowPunct/>
        <w:topLinePunct w:val="0"/>
        <w:autoSpaceDE/>
        <w:autoSpaceDN/>
        <w:bidi w:val="0"/>
        <w:adjustRightInd/>
        <w:snapToGrid/>
        <w:spacing w:line="540" w:lineRule="exact"/>
        <w:ind w:firstLine="640" w:firstLineChars="200"/>
        <w:jc w:val="both"/>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资金投入情况：该项目年初预算数</w:t>
      </w:r>
      <w:r>
        <w:rPr>
          <w:rFonts w:hint="default" w:ascii="Times New Roman" w:hAnsi="Times New Roman" w:eastAsia="方正仿宋_GBK" w:cs="Times New Roman"/>
          <w:sz w:val="32"/>
          <w:szCs w:val="32"/>
          <w:lang w:val="en-US" w:eastAsia="zh-CN"/>
        </w:rPr>
        <w:t>40</w:t>
      </w:r>
      <w:r>
        <w:rPr>
          <w:rFonts w:hint="default" w:ascii="Times New Roman" w:hAnsi="Times New Roman" w:eastAsia="方正仿宋_GBK" w:cs="Times New Roman"/>
          <w:sz w:val="32"/>
          <w:szCs w:val="32"/>
        </w:rPr>
        <w:t>万元，全年预算数</w:t>
      </w:r>
      <w:r>
        <w:rPr>
          <w:rFonts w:hint="default" w:ascii="Times New Roman" w:hAnsi="Times New Roman" w:eastAsia="方正仿宋_GBK" w:cs="Times New Roman"/>
          <w:sz w:val="32"/>
          <w:szCs w:val="32"/>
          <w:lang w:val="en-US" w:eastAsia="zh-CN"/>
        </w:rPr>
        <w:t>40</w:t>
      </w:r>
      <w:r>
        <w:rPr>
          <w:rFonts w:hint="default" w:ascii="Times New Roman" w:hAnsi="Times New Roman" w:eastAsia="方正仿宋_GBK" w:cs="Times New Roman"/>
          <w:sz w:val="32"/>
          <w:szCs w:val="32"/>
        </w:rPr>
        <w:t>万元，实际总投入</w:t>
      </w:r>
      <w:r>
        <w:rPr>
          <w:rFonts w:hint="default" w:ascii="Times New Roman" w:hAnsi="Times New Roman" w:eastAsia="方正仿宋_GBK" w:cs="Times New Roman"/>
          <w:sz w:val="32"/>
          <w:szCs w:val="32"/>
          <w:lang w:val="en-US" w:eastAsia="zh-CN"/>
        </w:rPr>
        <w:t>40</w:t>
      </w:r>
      <w:r>
        <w:rPr>
          <w:rFonts w:hint="default" w:ascii="Times New Roman" w:hAnsi="Times New Roman" w:eastAsia="方正仿宋_GBK" w:cs="Times New Roman"/>
          <w:sz w:val="32"/>
          <w:szCs w:val="32"/>
        </w:rPr>
        <w:t>万元，该项目资金落实到位</w:t>
      </w:r>
      <w:r>
        <w:rPr>
          <w:rFonts w:hint="eastAsia" w:eastAsia="方正仿宋_GBK" w:cs="Times New Roman"/>
          <w:sz w:val="32"/>
          <w:szCs w:val="32"/>
          <w:lang w:val="en-US" w:eastAsia="zh-CN"/>
        </w:rPr>
        <w:t>17.05</w:t>
      </w:r>
      <w:r>
        <w:rPr>
          <w:rFonts w:hint="default" w:ascii="Times New Roman" w:hAnsi="Times New Roman" w:eastAsia="方正仿宋_GBK" w:cs="Times New Roman"/>
          <w:sz w:val="32"/>
          <w:szCs w:val="32"/>
        </w:rPr>
        <w:t>万元，资金来源为</w:t>
      </w:r>
      <w:r>
        <w:rPr>
          <w:rFonts w:hint="default" w:ascii="Times New Roman" w:hAnsi="Times New Roman" w:eastAsia="方正仿宋_GBK" w:cs="Times New Roman"/>
          <w:sz w:val="32"/>
          <w:szCs w:val="32"/>
          <w:lang w:eastAsia="zh-CN"/>
        </w:rPr>
        <w:t>财政拨款</w:t>
      </w:r>
      <w:r>
        <w:rPr>
          <w:rFonts w:hint="default" w:ascii="Times New Roman" w:hAnsi="Times New Roman" w:eastAsia="方正仿宋_GBK" w:cs="Times New Roman"/>
          <w:sz w:val="32"/>
          <w:szCs w:val="32"/>
        </w:rPr>
        <w:t>。</w:t>
      </w:r>
    </w:p>
    <w:p>
      <w:pPr>
        <w:pageBreakBefore w:val="0"/>
        <w:kinsoku/>
        <w:wordWrap/>
        <w:overflowPunct/>
        <w:topLinePunct w:val="0"/>
        <w:autoSpaceDE/>
        <w:autoSpaceDN/>
        <w:bidi w:val="0"/>
        <w:adjustRightInd/>
        <w:snapToGrid/>
        <w:spacing w:line="540" w:lineRule="exact"/>
        <w:ind w:firstLine="640" w:firstLineChars="200"/>
        <w:jc w:val="both"/>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资金使用情况：该项目年初预算数</w:t>
      </w:r>
      <w:r>
        <w:rPr>
          <w:rFonts w:hint="default" w:ascii="Times New Roman" w:hAnsi="Times New Roman" w:eastAsia="方正仿宋_GBK" w:cs="Times New Roman"/>
          <w:sz w:val="32"/>
          <w:szCs w:val="32"/>
          <w:lang w:val="en-US" w:eastAsia="zh-CN"/>
        </w:rPr>
        <w:t>40</w:t>
      </w:r>
      <w:r>
        <w:rPr>
          <w:rFonts w:hint="default" w:ascii="Times New Roman" w:hAnsi="Times New Roman" w:eastAsia="方正仿宋_GBK" w:cs="Times New Roman"/>
          <w:sz w:val="32"/>
          <w:szCs w:val="32"/>
        </w:rPr>
        <w:t>万元，全年预算数</w:t>
      </w:r>
      <w:r>
        <w:rPr>
          <w:rFonts w:hint="default" w:ascii="Times New Roman" w:hAnsi="Times New Roman" w:eastAsia="方正仿宋_GBK" w:cs="Times New Roman"/>
          <w:sz w:val="32"/>
          <w:szCs w:val="32"/>
          <w:lang w:val="en-US" w:eastAsia="zh-CN"/>
        </w:rPr>
        <w:t>40</w:t>
      </w:r>
      <w:r>
        <w:rPr>
          <w:rFonts w:hint="default" w:ascii="Times New Roman" w:hAnsi="Times New Roman" w:eastAsia="方正仿宋_GBK" w:cs="Times New Roman"/>
          <w:sz w:val="32"/>
          <w:szCs w:val="32"/>
        </w:rPr>
        <w:t>万元，全年执行数</w:t>
      </w:r>
      <w:r>
        <w:rPr>
          <w:rFonts w:hint="eastAsia" w:eastAsia="方正仿宋_GBK" w:cs="Times New Roman"/>
          <w:sz w:val="32"/>
          <w:szCs w:val="32"/>
          <w:lang w:val="en-US" w:eastAsia="zh-CN"/>
        </w:rPr>
        <w:t>17.05</w:t>
      </w:r>
      <w:r>
        <w:rPr>
          <w:rFonts w:hint="default" w:ascii="Times New Roman" w:hAnsi="Times New Roman" w:eastAsia="方正仿宋_GBK" w:cs="Times New Roman"/>
          <w:sz w:val="32"/>
          <w:szCs w:val="32"/>
        </w:rPr>
        <w:t>万元，预算执行率为</w:t>
      </w:r>
      <w:r>
        <w:rPr>
          <w:rFonts w:hint="eastAsia" w:eastAsia="方正仿宋_GBK" w:cs="Times New Roman"/>
          <w:sz w:val="32"/>
          <w:szCs w:val="32"/>
          <w:lang w:val="en-US" w:eastAsia="zh-CN"/>
        </w:rPr>
        <w:t>44</w:t>
      </w:r>
      <w:r>
        <w:rPr>
          <w:rFonts w:hint="default" w:ascii="Times New Roman" w:hAnsi="Times New Roman" w:eastAsia="方正仿宋_GBK" w:cs="Times New Roman"/>
          <w:sz w:val="32"/>
          <w:szCs w:val="32"/>
        </w:rPr>
        <w:t>%，用于</w:t>
      </w:r>
      <w:r>
        <w:rPr>
          <w:rFonts w:hint="eastAsia" w:eastAsia="方正仿宋_GBK" w:cs="Times New Roman"/>
          <w:sz w:val="32"/>
          <w:szCs w:val="32"/>
          <w:lang w:eastAsia="zh-CN"/>
        </w:rPr>
        <w:t>报销县级领导出差费用</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17.05</w:t>
      </w:r>
      <w:r>
        <w:rPr>
          <w:rFonts w:hint="default" w:ascii="Times New Roman" w:hAnsi="Times New Roman" w:eastAsia="方正仿宋_GBK" w:cs="Times New Roman"/>
          <w:sz w:val="32"/>
          <w:szCs w:val="32"/>
        </w:rPr>
        <w:t>万元。</w:t>
      </w:r>
    </w:p>
    <w:p>
      <w:pPr>
        <w:pStyle w:val="4"/>
        <w:spacing w:line="360" w:lineRule="auto"/>
        <w:ind w:firstLine="640" w:firstLineChars="200"/>
        <w:rPr>
          <w:rFonts w:ascii="仿宋_GB2312" w:eastAsia="仿宋_GB2312"/>
          <w:b w:val="0"/>
          <w:bCs w:val="0"/>
          <w:color w:val="auto"/>
        </w:rPr>
      </w:pPr>
      <w:r>
        <w:rPr>
          <w:rFonts w:hint="eastAsia" w:ascii="仿宋_GB2312" w:eastAsia="仿宋_GB2312"/>
          <w:b w:val="0"/>
          <w:bCs w:val="0"/>
          <w:color w:val="auto"/>
        </w:rPr>
        <w:t>（二）项目绩效目标。</w:t>
      </w:r>
      <w:bookmarkEnd w:id="2"/>
    </w:p>
    <w:p>
      <w:pPr>
        <w:pageBreakBefore w:val="0"/>
        <w:kinsoku/>
        <w:wordWrap/>
        <w:overflowPunct/>
        <w:topLinePunct w:val="0"/>
        <w:autoSpaceDE/>
        <w:autoSpaceDN/>
        <w:bidi w:val="0"/>
        <w:adjustRightInd/>
        <w:snapToGrid/>
        <w:spacing w:line="540" w:lineRule="exact"/>
        <w:ind w:firstLine="640" w:firstLineChars="200"/>
        <w:jc w:val="both"/>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总体目标：当年县级领导差费总金额为40万元，总</w:t>
      </w:r>
      <w:r>
        <w:rPr>
          <w:rFonts w:hint="eastAsia" w:eastAsia="方正仿宋_GBK" w:cs="Times New Roman"/>
          <w:sz w:val="32"/>
          <w:szCs w:val="32"/>
          <w:lang w:eastAsia="zh-CN"/>
        </w:rPr>
        <w:t>支出</w:t>
      </w:r>
      <w:r>
        <w:rPr>
          <w:rFonts w:hint="eastAsia" w:eastAsia="方正仿宋_GBK" w:cs="Times New Roman"/>
          <w:sz w:val="32"/>
          <w:szCs w:val="32"/>
          <w:lang w:val="en-US" w:eastAsia="zh-CN"/>
        </w:rPr>
        <w:t>17.05</w:t>
      </w:r>
      <w:r>
        <w:rPr>
          <w:rFonts w:hint="default" w:ascii="Times New Roman" w:hAnsi="Times New Roman" w:eastAsia="方正仿宋_GBK" w:cs="Times New Roman"/>
          <w:sz w:val="32"/>
          <w:szCs w:val="32"/>
        </w:rPr>
        <w:t>万元，总出差人数为</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rPr>
        <w:t>人，人均为</w:t>
      </w:r>
      <w:r>
        <w:rPr>
          <w:rFonts w:hint="eastAsia" w:eastAsia="方正仿宋_GBK" w:cs="Times New Roman"/>
          <w:sz w:val="32"/>
          <w:szCs w:val="32"/>
          <w:lang w:val="en-US" w:eastAsia="zh-CN"/>
        </w:rPr>
        <w:t>3.4</w:t>
      </w:r>
      <w:r>
        <w:rPr>
          <w:rFonts w:hint="default" w:ascii="Times New Roman" w:hAnsi="Times New Roman" w:eastAsia="方正仿宋_GBK" w:cs="Times New Roman"/>
          <w:sz w:val="32"/>
          <w:szCs w:val="32"/>
        </w:rPr>
        <w:t>万元，共出差</w:t>
      </w:r>
      <w:r>
        <w:rPr>
          <w:rFonts w:hint="eastAsia" w:eastAsia="方正仿宋_GBK" w:cs="Times New Roman"/>
          <w:sz w:val="32"/>
          <w:szCs w:val="32"/>
          <w:lang w:val="en-US" w:eastAsia="zh-CN"/>
        </w:rPr>
        <w:t>78</w:t>
      </w:r>
      <w:r>
        <w:rPr>
          <w:rFonts w:hint="default" w:ascii="Times New Roman" w:hAnsi="Times New Roman" w:eastAsia="方正仿宋_GBK" w:cs="Times New Roman"/>
          <w:sz w:val="32"/>
          <w:szCs w:val="32"/>
        </w:rPr>
        <w:t>次。全年完成目标任务，突出了规划引领，扎实推进了党办各项工作，完成年度目标任务；全年按照绩效目标要求，严格按照三重一大会议要求，保障绩效目标的合法性，及时性和有效性；按时完成报销出差当中发生的各项合理费用，达到提高差旅人员的服务水平及质量的要求。</w:t>
      </w:r>
    </w:p>
    <w:p>
      <w:pPr>
        <w:pageBreakBefore w:val="0"/>
        <w:kinsoku/>
        <w:wordWrap/>
        <w:overflowPunct/>
        <w:topLinePunct w:val="0"/>
        <w:autoSpaceDE/>
        <w:autoSpaceDN/>
        <w:bidi w:val="0"/>
        <w:adjustRightInd/>
        <w:snapToGrid/>
        <w:spacing w:line="540" w:lineRule="exact"/>
        <w:ind w:firstLine="640" w:firstLineChars="200"/>
        <w:jc w:val="both"/>
        <w:outlineLvl w:val="0"/>
        <w:rPr>
          <w:rFonts w:hint="default" w:ascii="Times New Roman" w:hAnsi="Times New Roman" w:eastAsia="方正楷体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2.阶段性目标：</w:t>
      </w:r>
    </w:p>
    <w:p>
      <w:pPr>
        <w:pageBreakBefore w:val="0"/>
        <w:kinsoku/>
        <w:wordWrap/>
        <w:overflowPunct/>
        <w:topLinePunct w:val="0"/>
        <w:autoSpaceDE/>
        <w:autoSpaceDN/>
        <w:bidi w:val="0"/>
        <w:adjustRightInd/>
        <w:snapToGrid/>
        <w:spacing w:line="540" w:lineRule="exact"/>
        <w:ind w:firstLine="640" w:firstLineChars="200"/>
        <w:jc w:val="both"/>
        <w:outlineLvl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无</w:t>
      </w:r>
    </w:p>
    <w:p>
      <w:pPr>
        <w:pStyle w:val="3"/>
        <w:spacing w:line="360" w:lineRule="auto"/>
        <w:rPr>
          <w:rFonts w:ascii="宋体" w:hAnsi="宋体" w:eastAsia="宋体"/>
          <w:color w:val="auto"/>
          <w:sz w:val="32"/>
          <w:szCs w:val="32"/>
        </w:rPr>
      </w:pPr>
      <w:bookmarkStart w:id="3" w:name="_Toc68703830"/>
      <w:r>
        <w:rPr>
          <w:rFonts w:hint="eastAsia" w:ascii="宋体" w:hAnsi="宋体" w:eastAsia="宋体"/>
          <w:color w:val="auto"/>
          <w:sz w:val="32"/>
          <w:szCs w:val="32"/>
        </w:rPr>
        <w:t>二、绩效评价工作开展情况</w:t>
      </w:r>
      <w:bookmarkEnd w:id="3"/>
    </w:p>
    <w:p>
      <w:pPr>
        <w:pStyle w:val="4"/>
        <w:spacing w:line="360" w:lineRule="auto"/>
        <w:rPr>
          <w:rFonts w:ascii="仿宋_GB2312" w:eastAsia="仿宋_GB2312"/>
          <w:b w:val="0"/>
          <w:bCs w:val="0"/>
          <w:color w:val="auto"/>
        </w:rPr>
      </w:pPr>
      <w:bookmarkStart w:id="4" w:name="_Toc68703831"/>
      <w:r>
        <w:rPr>
          <w:rFonts w:hint="eastAsia" w:ascii="仿宋_GB2312" w:eastAsia="仿宋_GB2312"/>
          <w:b w:val="0"/>
          <w:bCs w:val="0"/>
          <w:color w:val="auto"/>
        </w:rPr>
        <w:t>（一）绩效评价目的、对象和范围。</w:t>
      </w:r>
      <w:bookmarkEnd w:id="4"/>
    </w:p>
    <w:p>
      <w:pPr>
        <w:pageBreakBefore w:val="0"/>
        <w:kinsoku/>
        <w:wordWrap/>
        <w:overflowPunct/>
        <w:topLinePunct w:val="0"/>
        <w:autoSpaceDE/>
        <w:autoSpaceDN/>
        <w:bidi w:val="0"/>
        <w:adjustRightInd/>
        <w:snapToGrid/>
        <w:spacing w:line="540" w:lineRule="exact"/>
        <w:ind w:firstLine="640" w:firstLineChars="200"/>
        <w:jc w:val="both"/>
        <w:outlineLvl w:val="0"/>
        <w:rPr>
          <w:rFonts w:hint="default" w:ascii="Times New Roman" w:hAnsi="Times New Roman" w:eastAsia="方正楷体_GBK" w:cs="Times New Roman"/>
          <w:b w:val="0"/>
          <w:bCs w:val="0"/>
          <w:kern w:val="2"/>
          <w:sz w:val="32"/>
          <w:szCs w:val="32"/>
          <w:lang w:val="en-US" w:eastAsia="zh-CN" w:bidi="ar-SA"/>
        </w:rPr>
      </w:pPr>
      <w:bookmarkStart w:id="5" w:name="_Toc68703832"/>
      <w:r>
        <w:rPr>
          <w:rFonts w:hint="default" w:ascii="Times New Roman" w:hAnsi="Times New Roman" w:eastAsia="方正楷体_GBK" w:cs="Times New Roman"/>
          <w:b w:val="0"/>
          <w:bCs w:val="0"/>
          <w:kern w:val="2"/>
          <w:sz w:val="32"/>
          <w:szCs w:val="32"/>
          <w:lang w:val="en-US" w:eastAsia="zh-CN" w:bidi="ar-SA"/>
        </w:rPr>
        <w:t>1.绩效评价目的：</w:t>
      </w:r>
    </w:p>
    <w:p>
      <w:pPr>
        <w:pageBreakBefore w:val="0"/>
        <w:kinsoku/>
        <w:wordWrap/>
        <w:overflowPunct/>
        <w:topLinePunct w:val="0"/>
        <w:autoSpaceDE/>
        <w:autoSpaceDN/>
        <w:bidi w:val="0"/>
        <w:adjustRightInd/>
        <w:snapToGrid/>
        <w:spacing w:line="540" w:lineRule="exact"/>
        <w:ind w:firstLine="640" w:firstLineChars="200"/>
        <w:jc w:val="both"/>
        <w:outlineLvl w:val="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sz w:val="32"/>
          <w:szCs w:val="32"/>
          <w:lang w:val="en-US" w:eastAsia="zh-CN"/>
        </w:rPr>
        <w:t>通过绩效评价，客观地评判项目的管理绩效，了解和掌握县级领导差费的具体情况，评价该项目资金安排的科学性、合理性、规范性和资金的使用成效，及时总结项目管理经验，完善项目管理办法，提高项目管理水平和资金使用效益。促使我单位根据绩效评价中发现的问题，认真加以整改，及时调整和完善单位的工作计划和绩效目标并加强项目管理，提高管理水平，同时为项目后续资金投入、分配和管理提供决策依据。</w:t>
      </w:r>
    </w:p>
    <w:p>
      <w:pPr>
        <w:pageBreakBefore w:val="0"/>
        <w:kinsoku/>
        <w:wordWrap/>
        <w:overflowPunct/>
        <w:topLinePunct w:val="0"/>
        <w:autoSpaceDE/>
        <w:autoSpaceDN/>
        <w:bidi w:val="0"/>
        <w:adjustRightInd/>
        <w:snapToGrid/>
        <w:spacing w:line="540" w:lineRule="exact"/>
        <w:ind w:firstLine="640" w:firstLineChars="200"/>
        <w:jc w:val="both"/>
        <w:outlineLvl w:val="0"/>
        <w:rPr>
          <w:rFonts w:hint="default" w:ascii="Times New Roman" w:hAnsi="Times New Roman" w:eastAsia="方正楷体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2.绩效评价对象：</w:t>
      </w:r>
    </w:p>
    <w:p>
      <w:pPr>
        <w:pageBreakBefore w:val="0"/>
        <w:kinsoku/>
        <w:wordWrap/>
        <w:overflowPunct/>
        <w:topLinePunct w:val="0"/>
        <w:autoSpaceDE/>
        <w:autoSpaceDN/>
        <w:bidi w:val="0"/>
        <w:adjustRightInd/>
        <w:snapToGrid/>
        <w:spacing w:line="540" w:lineRule="exact"/>
        <w:ind w:firstLine="640" w:firstLineChars="200"/>
        <w:jc w:val="both"/>
        <w:outlineLvl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县级领导差费。</w:t>
      </w:r>
    </w:p>
    <w:p>
      <w:pPr>
        <w:pageBreakBefore w:val="0"/>
        <w:kinsoku/>
        <w:wordWrap/>
        <w:overflowPunct/>
        <w:topLinePunct w:val="0"/>
        <w:autoSpaceDE/>
        <w:autoSpaceDN/>
        <w:bidi w:val="0"/>
        <w:adjustRightInd/>
        <w:snapToGrid/>
        <w:spacing w:line="540" w:lineRule="exact"/>
        <w:ind w:firstLine="640" w:firstLineChars="200"/>
        <w:jc w:val="both"/>
        <w:outlineLvl w:val="0"/>
        <w:rPr>
          <w:rFonts w:hint="default" w:ascii="Times New Roman" w:hAnsi="Times New Roman" w:eastAsia="方正楷体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3.绩效评价范围：</w:t>
      </w:r>
    </w:p>
    <w:p>
      <w:pPr>
        <w:pageBreakBefore w:val="0"/>
        <w:kinsoku/>
        <w:wordWrap/>
        <w:overflowPunct/>
        <w:topLinePunct w:val="0"/>
        <w:autoSpaceDE/>
        <w:autoSpaceDN/>
        <w:bidi w:val="0"/>
        <w:adjustRightInd/>
        <w:snapToGrid/>
        <w:spacing w:line="540" w:lineRule="exact"/>
        <w:ind w:firstLine="640" w:firstLineChars="200"/>
        <w:jc w:val="both"/>
        <w:outlineLvl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本次评价从项目决策、项目管理、项目产出、项目效益四个维度进行县级领导差费评价，评价核心为资金的支出完成情况和效果。</w:t>
      </w:r>
    </w:p>
    <w:p>
      <w:pPr>
        <w:pStyle w:val="4"/>
        <w:spacing w:line="360" w:lineRule="auto"/>
        <w:rPr>
          <w:rFonts w:ascii="仿宋_GB2312" w:eastAsia="仿宋_GB2312"/>
          <w:b w:val="0"/>
          <w:bCs w:val="0"/>
          <w:color w:val="auto"/>
        </w:rPr>
      </w:pPr>
      <w:r>
        <w:rPr>
          <w:rFonts w:hint="eastAsia" w:ascii="仿宋_GB2312" w:eastAsia="仿宋_GB2312"/>
          <w:b w:val="0"/>
          <w:bCs w:val="0"/>
          <w:color w:val="auto"/>
        </w:rPr>
        <w:t>（二）绩效评价原则、评价指标体系、评价方法、评价标准等。</w:t>
      </w:r>
      <w:bookmarkEnd w:id="5"/>
    </w:p>
    <w:p>
      <w:pPr>
        <w:pageBreakBefore w:val="0"/>
        <w:kinsoku/>
        <w:wordWrap/>
        <w:overflowPunct/>
        <w:topLinePunct w:val="0"/>
        <w:autoSpaceDE/>
        <w:autoSpaceDN/>
        <w:bidi w:val="0"/>
        <w:adjustRightInd/>
        <w:snapToGrid/>
        <w:spacing w:line="540" w:lineRule="exact"/>
        <w:ind w:firstLine="640" w:firstLineChars="200"/>
        <w:jc w:val="both"/>
        <w:outlineLvl w:val="0"/>
        <w:rPr>
          <w:rFonts w:hint="default" w:ascii="Times New Roman" w:hAnsi="Times New Roman" w:eastAsia="方正楷体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1.绩效评价原则</w:t>
      </w:r>
    </w:p>
    <w:p>
      <w:pPr>
        <w:pageBreakBefore w:val="0"/>
        <w:kinsoku/>
        <w:wordWrap/>
        <w:overflowPunct/>
        <w:topLinePunct w:val="0"/>
        <w:autoSpaceDE/>
        <w:autoSpaceDN/>
        <w:bidi w:val="0"/>
        <w:adjustRightInd/>
        <w:snapToGrid/>
        <w:spacing w:line="540" w:lineRule="exact"/>
        <w:ind w:firstLine="640" w:firstLineChars="200"/>
        <w:jc w:val="both"/>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本次项目绩效评价遵循以下基本原则：</w:t>
      </w:r>
    </w:p>
    <w:p>
      <w:pPr>
        <w:pageBreakBefore w:val="0"/>
        <w:kinsoku/>
        <w:wordWrap/>
        <w:overflowPunct/>
        <w:topLinePunct w:val="0"/>
        <w:autoSpaceDE/>
        <w:autoSpaceDN/>
        <w:bidi w:val="0"/>
        <w:adjustRightInd/>
        <w:snapToGrid/>
        <w:spacing w:line="540" w:lineRule="exact"/>
        <w:ind w:firstLine="640" w:firstLineChars="200"/>
        <w:jc w:val="both"/>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（一）科学公正。本次项目支出绩效评价运用科学合理的方法，按照规范的程序，对项目绩效进行客观、公正的反映。</w:t>
      </w:r>
    </w:p>
    <w:p>
      <w:pPr>
        <w:pageBreakBefore w:val="0"/>
        <w:kinsoku/>
        <w:wordWrap/>
        <w:overflowPunct/>
        <w:topLinePunct w:val="0"/>
        <w:autoSpaceDE/>
        <w:autoSpaceDN/>
        <w:bidi w:val="0"/>
        <w:adjustRightInd/>
        <w:snapToGrid/>
        <w:spacing w:line="540" w:lineRule="exact"/>
        <w:ind w:firstLine="640" w:firstLineChars="200"/>
        <w:jc w:val="both"/>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（二）统筹兼顾。本次项目支出绩效评价由本单位自主实施，即“谁支出、谁自评”。</w:t>
      </w:r>
    </w:p>
    <w:p>
      <w:pPr>
        <w:pageBreakBefore w:val="0"/>
        <w:kinsoku/>
        <w:wordWrap/>
        <w:overflowPunct/>
        <w:topLinePunct w:val="0"/>
        <w:autoSpaceDE/>
        <w:autoSpaceDN/>
        <w:bidi w:val="0"/>
        <w:adjustRightInd/>
        <w:snapToGrid/>
        <w:spacing w:line="540" w:lineRule="exact"/>
        <w:ind w:firstLine="640" w:firstLineChars="200"/>
        <w:jc w:val="both"/>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（三）激励约束。本次项目支出绩效评价结果与预算安排、政策调整、改进管理实质性挂钩，体现奖优罚劣和激励相容导向，有效要安排、低效要压减、无效要问责。</w:t>
      </w:r>
    </w:p>
    <w:p>
      <w:pPr>
        <w:pageBreakBefore w:val="0"/>
        <w:kinsoku/>
        <w:wordWrap/>
        <w:overflowPunct/>
        <w:topLinePunct w:val="0"/>
        <w:autoSpaceDE/>
        <w:autoSpaceDN/>
        <w:bidi w:val="0"/>
        <w:adjustRightInd/>
        <w:snapToGrid/>
        <w:spacing w:line="540" w:lineRule="exact"/>
        <w:ind w:firstLine="640" w:firstLineChars="200"/>
        <w:jc w:val="both"/>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（四）公开透明。本次项目支出绩效评价结果已依法依规公开，并自觉接受社会监督。</w:t>
      </w:r>
    </w:p>
    <w:p>
      <w:pPr>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rPr>
      </w:pPr>
      <w:r>
        <w:rPr>
          <w:rFonts w:hint="eastAsia"/>
        </w:rPr>
        <w:t>2、评价指标体系（附表说明）</w:t>
      </w:r>
    </w:p>
    <w:p>
      <w:pPr>
        <w:pageBreakBefore w:val="0"/>
        <w:kinsoku/>
        <w:wordWrap/>
        <w:overflowPunct/>
        <w:topLinePunct w:val="0"/>
        <w:autoSpaceDE/>
        <w:autoSpaceDN/>
        <w:bidi w:val="0"/>
        <w:adjustRightInd/>
        <w:snapToGrid/>
        <w:spacing w:line="560" w:lineRule="exact"/>
        <w:ind w:firstLine="708" w:firstLineChars="200"/>
        <w:textAlignment w:val="auto"/>
        <w:rPr>
          <w:color w:val="000000"/>
          <w:spacing w:val="17"/>
          <w:sz w:val="32"/>
          <w:szCs w:val="32"/>
        </w:rPr>
      </w:pPr>
      <w:r>
        <w:rPr>
          <w:rFonts w:eastAsia="仿宋_GB2312"/>
          <w:color w:val="000000"/>
          <w:spacing w:val="17"/>
          <w:sz w:val="32"/>
          <w:szCs w:val="32"/>
        </w:rPr>
        <w:t>绩效评价框架是开展绩效评价的核心。绩效评价框架包括评价准则、关键评价问题、评价指标、数据来源、数据收集方法等。指标体系建立过程如下：</w:t>
      </w:r>
    </w:p>
    <w:p>
      <w:pPr>
        <w:pageBreakBefore w:val="0"/>
        <w:kinsoku/>
        <w:wordWrap/>
        <w:overflowPunct/>
        <w:topLinePunct w:val="0"/>
        <w:autoSpaceDE/>
        <w:autoSpaceDN/>
        <w:bidi w:val="0"/>
        <w:adjustRightInd/>
        <w:snapToGrid/>
        <w:spacing w:line="560" w:lineRule="exact"/>
        <w:ind w:firstLine="708" w:firstLineChars="200"/>
        <w:textAlignment w:val="auto"/>
        <w:rPr>
          <w:rFonts w:eastAsia="仿宋_GB2312"/>
          <w:color w:val="000000"/>
          <w:spacing w:val="17"/>
          <w:sz w:val="32"/>
          <w:szCs w:val="32"/>
        </w:rPr>
      </w:pPr>
      <w:r>
        <w:rPr>
          <w:rFonts w:eastAsia="仿宋_GB2312"/>
          <w:color w:val="000000"/>
          <w:spacing w:val="17"/>
          <w:sz w:val="32"/>
          <w:szCs w:val="32"/>
        </w:rPr>
        <w:t>（1）确定评价指标</w:t>
      </w:r>
    </w:p>
    <w:p>
      <w:pPr>
        <w:pageBreakBefore w:val="0"/>
        <w:kinsoku/>
        <w:wordWrap/>
        <w:overflowPunct/>
        <w:topLinePunct w:val="0"/>
        <w:autoSpaceDE/>
        <w:autoSpaceDN/>
        <w:bidi w:val="0"/>
        <w:adjustRightInd/>
        <w:snapToGrid/>
        <w:spacing w:line="560" w:lineRule="exact"/>
        <w:ind w:firstLine="708" w:firstLineChars="200"/>
        <w:textAlignment w:val="auto"/>
        <w:rPr>
          <w:rFonts w:eastAsia="仿宋_GB2312"/>
          <w:color w:val="000000"/>
          <w:spacing w:val="17"/>
          <w:sz w:val="32"/>
          <w:szCs w:val="32"/>
        </w:rPr>
      </w:pPr>
      <w:r>
        <w:rPr>
          <w:rFonts w:eastAsia="仿宋_GB2312"/>
          <w:color w:val="000000"/>
          <w:spacing w:val="17"/>
          <w:sz w:val="32"/>
          <w:szCs w:val="32"/>
        </w:rPr>
        <w:t>采用层次分析法，建立评价指标体系。绩效评价将指标分为项目决策指标、项目过程指标、项目产出指标、项目效益指标四个维度，最终形成一个由多个相互联系的指标组成的多层次指标体系。</w:t>
      </w:r>
    </w:p>
    <w:p>
      <w:pPr>
        <w:pageBreakBefore w:val="0"/>
        <w:kinsoku/>
        <w:wordWrap/>
        <w:overflowPunct/>
        <w:topLinePunct w:val="0"/>
        <w:autoSpaceDE/>
        <w:autoSpaceDN/>
        <w:bidi w:val="0"/>
        <w:adjustRightInd/>
        <w:snapToGrid/>
        <w:spacing w:line="560" w:lineRule="exact"/>
        <w:ind w:firstLine="708" w:firstLineChars="200"/>
        <w:textAlignment w:val="auto"/>
        <w:rPr>
          <w:rFonts w:eastAsia="仿宋_GB2312"/>
          <w:color w:val="000000"/>
          <w:spacing w:val="17"/>
          <w:sz w:val="32"/>
          <w:szCs w:val="32"/>
        </w:rPr>
      </w:pPr>
      <w:r>
        <w:rPr>
          <w:rFonts w:eastAsia="仿宋_GB2312"/>
          <w:color w:val="000000"/>
          <w:spacing w:val="17"/>
          <w:sz w:val="32"/>
          <w:szCs w:val="32"/>
        </w:rPr>
        <w:t>（2）确定权重</w:t>
      </w:r>
    </w:p>
    <w:p>
      <w:pPr>
        <w:pageBreakBefore w:val="0"/>
        <w:kinsoku/>
        <w:wordWrap/>
        <w:overflowPunct/>
        <w:topLinePunct w:val="0"/>
        <w:autoSpaceDE/>
        <w:autoSpaceDN/>
        <w:bidi w:val="0"/>
        <w:adjustRightInd/>
        <w:snapToGrid/>
        <w:spacing w:line="560" w:lineRule="exact"/>
        <w:ind w:firstLine="708" w:firstLineChars="200"/>
        <w:textAlignment w:val="auto"/>
        <w:rPr>
          <w:rFonts w:hint="eastAsia" w:eastAsia="仿宋_GB2312"/>
          <w:color w:val="000000"/>
          <w:spacing w:val="17"/>
          <w:sz w:val="32"/>
          <w:szCs w:val="32"/>
          <w:lang w:eastAsia="zh-CN"/>
        </w:rPr>
      </w:pPr>
      <w:r>
        <w:rPr>
          <w:rFonts w:eastAsia="仿宋_GB2312"/>
          <w:color w:val="000000"/>
          <w:spacing w:val="17"/>
          <w:sz w:val="32"/>
          <w:szCs w:val="32"/>
        </w:rPr>
        <w:t>确定各个指标相对于项目总体绩效的权重分值。在绩效评价指标体系中，项目决策权重为20分，项目过程权重为20分，项目产出权重为40分，项目效益权重为20分。</w:t>
      </w:r>
    </w:p>
    <w:p>
      <w:pPr>
        <w:pageBreakBefore w:val="0"/>
        <w:kinsoku/>
        <w:wordWrap/>
        <w:overflowPunct/>
        <w:topLinePunct w:val="0"/>
        <w:autoSpaceDE/>
        <w:autoSpaceDN/>
        <w:bidi w:val="0"/>
        <w:adjustRightInd/>
        <w:snapToGrid/>
        <w:spacing w:line="560" w:lineRule="exact"/>
        <w:ind w:firstLine="708" w:firstLineChars="200"/>
        <w:textAlignment w:val="auto"/>
        <w:rPr>
          <w:rFonts w:eastAsia="仿宋_GB2312"/>
          <w:color w:val="000000"/>
          <w:spacing w:val="17"/>
          <w:sz w:val="32"/>
          <w:szCs w:val="32"/>
        </w:rPr>
      </w:pPr>
      <w:r>
        <w:rPr>
          <w:rFonts w:eastAsia="仿宋_GB2312"/>
          <w:color w:val="000000"/>
          <w:spacing w:val="17"/>
          <w:sz w:val="32"/>
          <w:szCs w:val="32"/>
        </w:rPr>
        <w:t>（3）确定指标标准值</w:t>
      </w:r>
    </w:p>
    <w:p>
      <w:pPr>
        <w:pageBreakBefore w:val="0"/>
        <w:kinsoku/>
        <w:wordWrap/>
        <w:overflowPunct/>
        <w:topLinePunct w:val="0"/>
        <w:autoSpaceDE/>
        <w:autoSpaceDN/>
        <w:bidi w:val="0"/>
        <w:adjustRightInd/>
        <w:snapToGrid/>
        <w:spacing w:line="560" w:lineRule="exact"/>
        <w:ind w:firstLine="708" w:firstLineChars="200"/>
        <w:textAlignment w:val="auto"/>
        <w:rPr>
          <w:rFonts w:eastAsia="仿宋_GB2312"/>
          <w:color w:val="000000"/>
          <w:spacing w:val="17"/>
          <w:sz w:val="32"/>
          <w:szCs w:val="32"/>
        </w:rPr>
      </w:pPr>
      <w:r>
        <w:rPr>
          <w:rFonts w:eastAsia="仿宋_GB2312"/>
          <w:color w:val="000000"/>
          <w:spacing w:val="17"/>
          <w:sz w:val="32"/>
          <w:szCs w:val="32"/>
        </w:rPr>
        <w:t>指标标准值是绩效评价指标的尺度，既要反映同类项目的先进水平，又要符合项目的实际绩效水平。具体采用计划标准等确定此次绩效评价指标标准值。</w:t>
      </w:r>
    </w:p>
    <w:p>
      <w:pPr>
        <w:pStyle w:val="8"/>
        <w:pageBreakBefore w:val="0"/>
        <w:kinsoku/>
        <w:wordWrap/>
        <w:overflowPunct/>
        <w:topLinePunct w:val="0"/>
        <w:autoSpaceDE/>
        <w:autoSpaceDN/>
        <w:bidi w:val="0"/>
        <w:adjustRightInd/>
        <w:snapToGrid/>
        <w:spacing w:before="0" w:after="0" w:line="560" w:lineRule="exact"/>
        <w:ind w:firstLine="708" w:firstLineChars="200"/>
        <w:jc w:val="both"/>
        <w:textAlignment w:val="auto"/>
        <w:rPr>
          <w:rFonts w:ascii="Times New Roman" w:hAnsi="Times New Roman" w:eastAsia="仿宋_GB2312"/>
          <w:b w:val="0"/>
          <w:bCs w:val="0"/>
          <w:color w:val="000000"/>
          <w:spacing w:val="17"/>
          <w:kern w:val="2"/>
        </w:rPr>
      </w:pPr>
      <w:r>
        <w:rPr>
          <w:rFonts w:ascii="Times New Roman" w:hAnsi="Times New Roman" w:eastAsia="仿宋_GB2312"/>
          <w:b w:val="0"/>
          <w:bCs w:val="0"/>
          <w:color w:val="000000"/>
          <w:spacing w:val="17"/>
          <w:kern w:val="2"/>
        </w:rPr>
        <w:t>绩效评价总分值100分，根据综合评分结果，评价计分90分-100分（含90分）对应的评分结果级别为优，80-90分（含80分）对应的评分结果级别为良，60-80分（含60分）对应的评分结果级别为中，60分以下对应的评分结果级别为差。</w:t>
      </w:r>
    </w:p>
    <w:p>
      <w:pPr>
        <w:pStyle w:val="8"/>
        <w:rPr>
          <w:rFonts w:hint="eastAsia"/>
          <w:lang w:eastAsia="zh-CN"/>
        </w:rPr>
      </w:pPr>
    </w:p>
    <w:p>
      <w:pPr>
        <w:pStyle w:val="4"/>
        <w:spacing w:before="0" w:after="0" w:line="240" w:lineRule="auto"/>
        <w:jc w:val="both"/>
        <w:rPr>
          <w:rFonts w:hint="eastAsia" w:ascii="Times New Roman" w:hAnsi="Times New Roman" w:eastAsia="仿宋_GB2312" w:cs="Times New Roman"/>
          <w:b w:val="0"/>
          <w:bCs w:val="0"/>
          <w:color w:val="auto"/>
          <w:sz w:val="30"/>
          <w:szCs w:val="24"/>
          <w:lang w:eastAsia="zh-CN"/>
        </w:rPr>
      </w:pPr>
    </w:p>
    <w:p>
      <w:pPr>
        <w:pStyle w:val="4"/>
        <w:spacing w:before="0" w:after="0" w:line="240" w:lineRule="auto"/>
        <w:jc w:val="center"/>
        <w:rPr>
          <w:rFonts w:hint="eastAsia" w:ascii="Times New Roman" w:hAnsi="Times New Roman" w:eastAsia="仿宋_GB2312" w:cs="Times New Roman"/>
          <w:b w:val="0"/>
          <w:bCs w:val="0"/>
          <w:color w:val="auto"/>
          <w:sz w:val="30"/>
          <w:szCs w:val="24"/>
          <w:lang w:eastAsia="zh-CN"/>
        </w:rPr>
      </w:pPr>
    </w:p>
    <w:p>
      <w:pPr>
        <w:pStyle w:val="4"/>
        <w:spacing w:before="0" w:after="0" w:line="240" w:lineRule="auto"/>
        <w:jc w:val="center"/>
        <w:rPr>
          <w:rFonts w:ascii="Times New Roman" w:hAnsi="Times New Roman" w:eastAsia="仿宋_GB2312" w:cs="Times New Roman"/>
          <w:b w:val="0"/>
          <w:bCs w:val="0"/>
          <w:color w:val="auto"/>
          <w:sz w:val="30"/>
          <w:szCs w:val="24"/>
        </w:rPr>
      </w:pPr>
      <w:r>
        <w:rPr>
          <w:rFonts w:hint="eastAsia" w:ascii="Times New Roman" w:hAnsi="Times New Roman" w:eastAsia="仿宋_GB2312" w:cs="Times New Roman"/>
          <w:b w:val="0"/>
          <w:bCs w:val="0"/>
          <w:color w:val="auto"/>
          <w:sz w:val="30"/>
          <w:szCs w:val="24"/>
          <w:lang w:eastAsia="zh-CN"/>
        </w:rPr>
        <w:t>县领导差费</w:t>
      </w:r>
      <w:r>
        <w:rPr>
          <w:rFonts w:hint="eastAsia" w:ascii="Times New Roman" w:hAnsi="Times New Roman" w:eastAsia="仿宋_GB2312" w:cs="Times New Roman"/>
          <w:b w:val="0"/>
          <w:bCs w:val="0"/>
          <w:color w:val="auto"/>
          <w:sz w:val="30"/>
          <w:szCs w:val="24"/>
        </w:rPr>
        <w:t>项目支出绩效评价指标体系</w:t>
      </w:r>
    </w:p>
    <w:p>
      <w:pPr>
        <w:rPr>
          <w:color w:val="auto"/>
        </w:rPr>
      </w:pPr>
    </w:p>
    <w:tbl>
      <w:tblPr>
        <w:tblStyle w:val="10"/>
        <w:tblW w:w="985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57"/>
        <w:gridCol w:w="1478"/>
        <w:gridCol w:w="1875"/>
        <w:gridCol w:w="3885"/>
        <w:gridCol w:w="990"/>
        <w:gridCol w:w="87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tblHeader/>
          <w:jc w:val="center"/>
        </w:trPr>
        <w:tc>
          <w:tcPr>
            <w:tcW w:w="757" w:type="dxa"/>
            <w:shd w:val="clear" w:color="auto" w:fill="FFFFFF"/>
            <w:vAlign w:val="center"/>
          </w:tcPr>
          <w:p>
            <w:pPr>
              <w:widowControl/>
              <w:spacing w:line="0" w:lineRule="atLeast"/>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一级指标</w:t>
            </w:r>
          </w:p>
        </w:tc>
        <w:tc>
          <w:tcPr>
            <w:tcW w:w="1478" w:type="dxa"/>
            <w:shd w:val="clear" w:color="auto" w:fill="FFFFFF"/>
            <w:vAlign w:val="center"/>
          </w:tcPr>
          <w:p>
            <w:pPr>
              <w:widowControl/>
              <w:spacing w:line="0" w:lineRule="atLeast"/>
              <w:jc w:val="center"/>
              <w:rPr>
                <w:rFonts w:ascii="宋体" w:hAnsi="宋体" w:eastAsia="宋体" w:cs="宋体"/>
                <w:b/>
                <w:bCs/>
                <w:color w:val="000000"/>
                <w:kern w:val="0"/>
                <w:sz w:val="22"/>
              </w:rPr>
            </w:pPr>
            <w:r>
              <w:rPr>
                <w:rFonts w:hint="eastAsia" w:ascii="宋体" w:hAnsi="宋体" w:eastAsia="宋体" w:cs="宋体"/>
                <w:b/>
                <w:bCs/>
                <w:color w:val="000000"/>
                <w:kern w:val="0"/>
                <w:sz w:val="22"/>
              </w:rPr>
              <w:t>二级指标</w:t>
            </w:r>
          </w:p>
        </w:tc>
        <w:tc>
          <w:tcPr>
            <w:tcW w:w="1875" w:type="dxa"/>
            <w:tcBorders>
              <w:right w:val="single" w:color="auto" w:sz="4" w:space="0"/>
            </w:tcBorders>
            <w:shd w:val="clear" w:color="auto" w:fill="FFFFFF"/>
            <w:vAlign w:val="center"/>
          </w:tcPr>
          <w:p>
            <w:pPr>
              <w:widowControl/>
              <w:spacing w:line="0" w:lineRule="atLeast"/>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三级指标</w:t>
            </w:r>
          </w:p>
        </w:tc>
        <w:tc>
          <w:tcPr>
            <w:tcW w:w="3885" w:type="dxa"/>
            <w:tcBorders>
              <w:right w:val="single" w:color="auto" w:sz="4" w:space="0"/>
            </w:tcBorders>
            <w:shd w:val="clear" w:color="auto" w:fill="FFFFFF"/>
          </w:tcPr>
          <w:p>
            <w:pPr>
              <w:widowControl/>
              <w:spacing w:line="60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指标解释</w:t>
            </w:r>
          </w:p>
        </w:tc>
        <w:tc>
          <w:tcPr>
            <w:tcW w:w="990" w:type="dxa"/>
            <w:tcBorders>
              <w:left w:val="single" w:color="auto" w:sz="4" w:space="0"/>
            </w:tcBorders>
            <w:shd w:val="clear" w:color="auto" w:fill="FFFFFF"/>
          </w:tcPr>
          <w:p>
            <w:pPr>
              <w:widowControl/>
              <w:spacing w:line="60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分值</w:t>
            </w:r>
          </w:p>
        </w:tc>
        <w:tc>
          <w:tcPr>
            <w:tcW w:w="874" w:type="dxa"/>
            <w:shd w:val="clear" w:color="auto" w:fill="FFFFFF"/>
          </w:tcPr>
          <w:p>
            <w:pPr>
              <w:widowControl/>
              <w:spacing w:line="60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5" w:hRule="atLeast"/>
          <w:jc w:val="center"/>
        </w:trPr>
        <w:tc>
          <w:tcPr>
            <w:tcW w:w="757" w:type="dxa"/>
            <w:vMerge w:val="restart"/>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决策</w:t>
            </w:r>
          </w:p>
        </w:tc>
        <w:tc>
          <w:tcPr>
            <w:tcW w:w="1478" w:type="dxa"/>
            <w:vMerge w:val="restart"/>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项目立项　</w:t>
            </w:r>
          </w:p>
        </w:tc>
        <w:tc>
          <w:tcPr>
            <w:tcW w:w="1875" w:type="dxa"/>
            <w:tcBorders>
              <w:right w:val="single" w:color="auto" w:sz="4" w:space="0"/>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立项依据</w:t>
            </w:r>
          </w:p>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充分性</w:t>
            </w:r>
          </w:p>
        </w:tc>
        <w:tc>
          <w:tcPr>
            <w:tcW w:w="3885" w:type="dxa"/>
            <w:tcBorders>
              <w:right w:val="single" w:color="auto" w:sz="4" w:space="0"/>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项目立项是否符合法律法规、相关政策、发展规划以及部门职责，用以反映和考核项目立项依据情况。</w:t>
            </w:r>
          </w:p>
        </w:tc>
        <w:tc>
          <w:tcPr>
            <w:tcW w:w="990" w:type="dxa"/>
            <w:tcBorders>
              <w:left w:val="single" w:color="auto" w:sz="4" w:space="0"/>
            </w:tcBorders>
            <w:shd w:val="clear" w:color="auto" w:fill="FFFFFF"/>
          </w:tcPr>
          <w:p>
            <w:pPr>
              <w:spacing w:line="600" w:lineRule="auto"/>
              <w:jc w:val="center"/>
              <w:rPr>
                <w:rFonts w:hint="eastAsia" w:eastAsia="仿宋_GB2312"/>
                <w:sz w:val="22"/>
                <w:szCs w:val="22"/>
                <w:lang w:val="en-US" w:eastAsia="zh-CN"/>
              </w:rPr>
            </w:pPr>
            <w:r>
              <w:rPr>
                <w:rFonts w:hint="eastAsia"/>
                <w:sz w:val="22"/>
                <w:szCs w:val="22"/>
                <w:lang w:val="en-US" w:eastAsia="zh-CN"/>
              </w:rPr>
              <w:t>3</w:t>
            </w:r>
          </w:p>
        </w:tc>
        <w:tc>
          <w:tcPr>
            <w:tcW w:w="874" w:type="dxa"/>
            <w:tcBorders>
              <w:bottom w:val="single" w:color="auto" w:sz="4" w:space="0"/>
            </w:tcBorders>
            <w:shd w:val="clear" w:color="auto" w:fill="FFFFFF"/>
            <w:vAlign w:val="top"/>
          </w:tcPr>
          <w:p>
            <w:pPr>
              <w:spacing w:line="600" w:lineRule="auto"/>
              <w:jc w:val="center"/>
              <w:rPr>
                <w:rFonts w:hint="eastAsia" w:eastAsia="仿宋_GB2312"/>
                <w:lang w:val="en-US" w:eastAsia="zh-CN"/>
              </w:rPr>
            </w:pPr>
            <w:r>
              <w:rPr>
                <w:rFonts w:hint="eastAsia"/>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7" w:hRule="atLeast"/>
          <w:jc w:val="center"/>
        </w:trPr>
        <w:tc>
          <w:tcPr>
            <w:tcW w:w="757" w:type="dxa"/>
            <w:vMerge w:val="continue"/>
            <w:shd w:val="clear" w:color="auto" w:fill="FFFFFF"/>
            <w:vAlign w:val="center"/>
          </w:tcPr>
          <w:p>
            <w:pPr>
              <w:spacing w:line="0" w:lineRule="atLeast"/>
              <w:jc w:val="center"/>
              <w:rPr>
                <w:rFonts w:ascii="宋体" w:hAnsi="宋体" w:cs="宋体"/>
                <w:color w:val="000000"/>
                <w:kern w:val="0"/>
                <w:sz w:val="22"/>
              </w:rPr>
            </w:pPr>
          </w:p>
        </w:tc>
        <w:tc>
          <w:tcPr>
            <w:tcW w:w="1478" w:type="dxa"/>
            <w:vMerge w:val="continue"/>
            <w:shd w:val="clear" w:color="auto" w:fill="FFFFFF"/>
            <w:vAlign w:val="center"/>
          </w:tcPr>
          <w:p>
            <w:pPr>
              <w:widowControl/>
              <w:spacing w:line="0" w:lineRule="atLeast"/>
              <w:jc w:val="center"/>
              <w:rPr>
                <w:rFonts w:ascii="宋体" w:hAnsi="宋体" w:cs="宋体"/>
                <w:color w:val="000000"/>
                <w:kern w:val="0"/>
                <w:sz w:val="22"/>
              </w:rPr>
            </w:pPr>
          </w:p>
        </w:tc>
        <w:tc>
          <w:tcPr>
            <w:tcW w:w="1875" w:type="dxa"/>
            <w:tcBorders>
              <w:right w:val="single" w:color="auto" w:sz="4" w:space="0"/>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立项程序</w:t>
            </w:r>
          </w:p>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规范性</w:t>
            </w:r>
          </w:p>
        </w:tc>
        <w:tc>
          <w:tcPr>
            <w:tcW w:w="3885" w:type="dxa"/>
            <w:tcBorders>
              <w:right w:val="single" w:color="auto" w:sz="4" w:space="0"/>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项目申请、设立过程是否符合相关要求，用以反映和考核项目立项的规范情况</w:t>
            </w:r>
          </w:p>
        </w:tc>
        <w:tc>
          <w:tcPr>
            <w:tcW w:w="990" w:type="dxa"/>
            <w:tcBorders>
              <w:left w:val="single" w:color="auto" w:sz="4" w:space="0"/>
            </w:tcBorders>
            <w:shd w:val="clear" w:color="auto" w:fill="FFFFFF"/>
          </w:tcPr>
          <w:p>
            <w:pPr>
              <w:spacing w:line="600" w:lineRule="auto"/>
              <w:jc w:val="center"/>
              <w:rPr>
                <w:rFonts w:hint="eastAsia" w:eastAsia="仿宋_GB2312"/>
                <w:sz w:val="22"/>
                <w:szCs w:val="22"/>
                <w:lang w:val="en-US" w:eastAsia="zh-CN"/>
              </w:rPr>
            </w:pPr>
            <w:r>
              <w:rPr>
                <w:rFonts w:hint="eastAsia"/>
                <w:sz w:val="22"/>
                <w:szCs w:val="22"/>
                <w:lang w:val="en-US" w:eastAsia="zh-CN"/>
              </w:rPr>
              <w:t>3</w:t>
            </w:r>
          </w:p>
        </w:tc>
        <w:tc>
          <w:tcPr>
            <w:tcW w:w="874" w:type="dxa"/>
            <w:shd w:val="clear" w:color="auto" w:fill="FFFFFF"/>
            <w:vAlign w:val="top"/>
          </w:tcPr>
          <w:p>
            <w:pPr>
              <w:spacing w:line="600" w:lineRule="auto"/>
              <w:jc w:val="center"/>
              <w:rPr>
                <w:rFonts w:hint="eastAsia" w:eastAsia="仿宋_GB2312"/>
                <w:lang w:val="en-US" w:eastAsia="zh-CN"/>
              </w:rPr>
            </w:pPr>
            <w:r>
              <w:rPr>
                <w:rFonts w:hint="eastAsia"/>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3" w:hRule="atLeast"/>
          <w:jc w:val="center"/>
        </w:trPr>
        <w:tc>
          <w:tcPr>
            <w:tcW w:w="757" w:type="dxa"/>
            <w:vMerge w:val="continue"/>
            <w:shd w:val="clear" w:color="auto" w:fill="FFFFFF"/>
            <w:vAlign w:val="center"/>
          </w:tcPr>
          <w:p>
            <w:pPr>
              <w:spacing w:line="0" w:lineRule="atLeast"/>
              <w:jc w:val="center"/>
              <w:rPr>
                <w:rFonts w:ascii="宋体" w:hAnsi="宋体" w:cs="宋体"/>
                <w:color w:val="000000"/>
                <w:kern w:val="0"/>
                <w:sz w:val="22"/>
              </w:rPr>
            </w:pPr>
          </w:p>
        </w:tc>
        <w:tc>
          <w:tcPr>
            <w:tcW w:w="1478" w:type="dxa"/>
            <w:vMerge w:val="restart"/>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绩效目标</w:t>
            </w:r>
          </w:p>
        </w:tc>
        <w:tc>
          <w:tcPr>
            <w:tcW w:w="1875" w:type="dxa"/>
            <w:tcBorders>
              <w:right w:val="single" w:color="auto" w:sz="4" w:space="0"/>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绩效目标</w:t>
            </w:r>
          </w:p>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合理性</w:t>
            </w:r>
          </w:p>
        </w:tc>
        <w:tc>
          <w:tcPr>
            <w:tcW w:w="3885" w:type="dxa"/>
            <w:tcBorders>
              <w:right w:val="single" w:color="auto" w:sz="4" w:space="0"/>
            </w:tcBorders>
            <w:shd w:val="clear" w:color="000000"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项目所设定的绩效目标是否依据充分，是否符合客观实际，用以反映和考核项目绩效目标与项目实施的相符情况。</w:t>
            </w:r>
          </w:p>
        </w:tc>
        <w:tc>
          <w:tcPr>
            <w:tcW w:w="990" w:type="dxa"/>
            <w:tcBorders>
              <w:left w:val="single" w:color="auto" w:sz="4" w:space="0"/>
            </w:tcBorders>
            <w:shd w:val="clear" w:color="000000" w:fill="FFFFFF"/>
          </w:tcPr>
          <w:p>
            <w:pPr>
              <w:spacing w:line="600" w:lineRule="auto"/>
              <w:jc w:val="center"/>
              <w:rPr>
                <w:rFonts w:hint="eastAsia" w:eastAsia="仿宋_GB2312"/>
                <w:sz w:val="22"/>
                <w:szCs w:val="22"/>
                <w:lang w:val="en-US" w:eastAsia="zh-CN"/>
              </w:rPr>
            </w:pPr>
            <w:r>
              <w:rPr>
                <w:rFonts w:hint="eastAsia"/>
                <w:sz w:val="22"/>
                <w:szCs w:val="22"/>
                <w:lang w:val="en-US" w:eastAsia="zh-CN"/>
              </w:rPr>
              <w:t>3</w:t>
            </w:r>
          </w:p>
        </w:tc>
        <w:tc>
          <w:tcPr>
            <w:tcW w:w="874" w:type="dxa"/>
            <w:shd w:val="clear" w:color="000000" w:fill="FFFFFF"/>
            <w:vAlign w:val="top"/>
          </w:tcPr>
          <w:p>
            <w:pPr>
              <w:spacing w:line="600" w:lineRule="auto"/>
              <w:jc w:val="center"/>
            </w:pPr>
            <w:r>
              <w:rPr>
                <w:rFonts w:hint="eastAsia"/>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3" w:hRule="atLeast"/>
          <w:jc w:val="center"/>
        </w:trPr>
        <w:tc>
          <w:tcPr>
            <w:tcW w:w="757" w:type="dxa"/>
            <w:vMerge w:val="continue"/>
            <w:shd w:val="clear" w:color="auto" w:fill="FFFFFF"/>
            <w:vAlign w:val="center"/>
          </w:tcPr>
          <w:p>
            <w:pPr>
              <w:widowControl/>
              <w:spacing w:line="0" w:lineRule="atLeast"/>
              <w:jc w:val="center"/>
              <w:rPr>
                <w:rFonts w:ascii="宋体" w:hAnsi="宋体" w:cs="宋体"/>
                <w:color w:val="000000"/>
                <w:kern w:val="0"/>
                <w:sz w:val="22"/>
              </w:rPr>
            </w:pPr>
          </w:p>
        </w:tc>
        <w:tc>
          <w:tcPr>
            <w:tcW w:w="1478" w:type="dxa"/>
            <w:vMerge w:val="continue"/>
            <w:shd w:val="clear" w:color="auto" w:fill="FFFFFF"/>
            <w:vAlign w:val="center"/>
          </w:tcPr>
          <w:p>
            <w:pPr>
              <w:widowControl/>
              <w:spacing w:line="0" w:lineRule="atLeast"/>
              <w:jc w:val="center"/>
              <w:rPr>
                <w:rFonts w:ascii="宋体" w:hAnsi="宋体" w:cs="宋体"/>
                <w:color w:val="000000"/>
                <w:kern w:val="0"/>
                <w:sz w:val="22"/>
              </w:rPr>
            </w:pPr>
          </w:p>
        </w:tc>
        <w:tc>
          <w:tcPr>
            <w:tcW w:w="1875" w:type="dxa"/>
            <w:tcBorders>
              <w:right w:val="single" w:color="auto" w:sz="4" w:space="0"/>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绩效指标</w:t>
            </w:r>
          </w:p>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明确性</w:t>
            </w:r>
          </w:p>
        </w:tc>
        <w:tc>
          <w:tcPr>
            <w:tcW w:w="3885" w:type="dxa"/>
            <w:tcBorders>
              <w:right w:val="single" w:color="auto" w:sz="4" w:space="0"/>
            </w:tcBorders>
            <w:shd w:val="clear" w:color="000000"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依据绩效目标设定的绩效指标是否清晰、细化、可衡量等，用以反映和考核项目绩效目标的明细化情况。</w:t>
            </w:r>
          </w:p>
        </w:tc>
        <w:tc>
          <w:tcPr>
            <w:tcW w:w="990" w:type="dxa"/>
            <w:tcBorders>
              <w:left w:val="single" w:color="auto" w:sz="4" w:space="0"/>
            </w:tcBorders>
            <w:shd w:val="clear" w:color="000000" w:fill="FFFFFF"/>
          </w:tcPr>
          <w:p>
            <w:pPr>
              <w:spacing w:line="600" w:lineRule="auto"/>
              <w:jc w:val="center"/>
              <w:rPr>
                <w:rFonts w:hint="eastAsia" w:eastAsia="仿宋_GB2312"/>
                <w:sz w:val="22"/>
                <w:szCs w:val="22"/>
                <w:lang w:val="en-US" w:eastAsia="zh-CN"/>
              </w:rPr>
            </w:pPr>
            <w:r>
              <w:rPr>
                <w:rFonts w:hint="eastAsia"/>
                <w:sz w:val="22"/>
                <w:szCs w:val="22"/>
                <w:lang w:val="en-US" w:eastAsia="zh-CN"/>
              </w:rPr>
              <w:t>3</w:t>
            </w:r>
          </w:p>
        </w:tc>
        <w:tc>
          <w:tcPr>
            <w:tcW w:w="874" w:type="dxa"/>
            <w:tcBorders>
              <w:bottom w:val="single" w:color="auto" w:sz="4" w:space="0"/>
            </w:tcBorders>
            <w:shd w:val="clear" w:color="000000" w:fill="FFFFFF"/>
            <w:vAlign w:val="top"/>
          </w:tcPr>
          <w:p>
            <w:pPr>
              <w:spacing w:line="600" w:lineRule="auto"/>
              <w:jc w:val="center"/>
            </w:pPr>
            <w:r>
              <w:rPr>
                <w:rFonts w:hint="eastAsia"/>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1" w:hRule="atLeast"/>
          <w:jc w:val="center"/>
        </w:trPr>
        <w:tc>
          <w:tcPr>
            <w:tcW w:w="757" w:type="dxa"/>
            <w:vMerge w:val="continue"/>
            <w:shd w:val="clear" w:color="auto" w:fill="FFFFFF"/>
            <w:vAlign w:val="center"/>
          </w:tcPr>
          <w:p>
            <w:pPr>
              <w:spacing w:line="0" w:lineRule="atLeast"/>
              <w:jc w:val="center"/>
              <w:rPr>
                <w:rFonts w:ascii="宋体" w:hAnsi="宋体" w:cs="宋体"/>
                <w:color w:val="000000"/>
                <w:kern w:val="0"/>
                <w:sz w:val="22"/>
              </w:rPr>
            </w:pPr>
          </w:p>
        </w:tc>
        <w:tc>
          <w:tcPr>
            <w:tcW w:w="1478" w:type="dxa"/>
            <w:vMerge w:val="restart"/>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资金投入</w:t>
            </w:r>
          </w:p>
          <w:p>
            <w:pPr>
              <w:spacing w:line="0" w:lineRule="atLeast"/>
              <w:jc w:val="center"/>
              <w:rPr>
                <w:rFonts w:ascii="宋体" w:hAnsi="宋体" w:cs="宋体"/>
                <w:color w:val="000000"/>
                <w:kern w:val="0"/>
                <w:sz w:val="22"/>
              </w:rPr>
            </w:pPr>
            <w:r>
              <w:rPr>
                <w:rFonts w:hint="eastAsia" w:ascii="宋体" w:hAnsi="宋体" w:cs="宋体"/>
                <w:color w:val="000000"/>
                <w:kern w:val="0"/>
                <w:sz w:val="22"/>
              </w:rPr>
              <w:t>　</w:t>
            </w:r>
          </w:p>
        </w:tc>
        <w:tc>
          <w:tcPr>
            <w:tcW w:w="1875" w:type="dxa"/>
            <w:tcBorders>
              <w:right w:val="single" w:color="auto" w:sz="4" w:space="0"/>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预算编制</w:t>
            </w:r>
          </w:p>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科学性</w:t>
            </w:r>
          </w:p>
        </w:tc>
        <w:tc>
          <w:tcPr>
            <w:tcW w:w="3885" w:type="dxa"/>
            <w:tcBorders>
              <w:right w:val="single" w:color="auto" w:sz="4" w:space="0"/>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项目预算编制是否经过科学论证、有明确标准，资金额度与年度目标是否相适应，用以反映和考核项目预算编制的科学性、合理性情况。</w:t>
            </w:r>
          </w:p>
        </w:tc>
        <w:tc>
          <w:tcPr>
            <w:tcW w:w="990" w:type="dxa"/>
            <w:tcBorders>
              <w:left w:val="single" w:color="auto" w:sz="4" w:space="0"/>
            </w:tcBorders>
            <w:shd w:val="clear" w:color="auto" w:fill="FFFFFF"/>
          </w:tcPr>
          <w:p>
            <w:pPr>
              <w:spacing w:line="600" w:lineRule="auto"/>
              <w:jc w:val="center"/>
              <w:rPr>
                <w:rFonts w:hint="default" w:eastAsia="仿宋_GB2312"/>
                <w:sz w:val="22"/>
                <w:szCs w:val="22"/>
                <w:lang w:val="en-US" w:eastAsia="zh-CN"/>
              </w:rPr>
            </w:pPr>
            <w:r>
              <w:rPr>
                <w:rFonts w:hint="eastAsia"/>
                <w:sz w:val="22"/>
                <w:szCs w:val="22"/>
                <w:lang w:val="en-US" w:eastAsia="zh-CN"/>
              </w:rPr>
              <w:t>3</w:t>
            </w:r>
          </w:p>
        </w:tc>
        <w:tc>
          <w:tcPr>
            <w:tcW w:w="874" w:type="dxa"/>
            <w:tcBorders>
              <w:bottom w:val="single" w:color="auto" w:sz="4" w:space="0"/>
            </w:tcBorders>
            <w:shd w:val="clear" w:color="auto" w:fill="FFFFFF"/>
            <w:vAlign w:val="top"/>
          </w:tcPr>
          <w:p>
            <w:pPr>
              <w:spacing w:line="600" w:lineRule="auto"/>
              <w:jc w:val="center"/>
            </w:pPr>
            <w:r>
              <w:rPr>
                <w:rFonts w:hint="eastAsia"/>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4" w:hRule="atLeast"/>
          <w:jc w:val="center"/>
        </w:trPr>
        <w:tc>
          <w:tcPr>
            <w:tcW w:w="757" w:type="dxa"/>
            <w:vMerge w:val="continue"/>
            <w:shd w:val="clear" w:color="auto" w:fill="FFFFFF"/>
            <w:vAlign w:val="center"/>
          </w:tcPr>
          <w:p>
            <w:pPr>
              <w:widowControl/>
              <w:spacing w:line="0" w:lineRule="atLeast"/>
              <w:jc w:val="center"/>
              <w:rPr>
                <w:rFonts w:ascii="宋体" w:hAnsi="宋体" w:cs="宋体"/>
                <w:color w:val="000000"/>
                <w:kern w:val="0"/>
                <w:sz w:val="22"/>
              </w:rPr>
            </w:pPr>
          </w:p>
        </w:tc>
        <w:tc>
          <w:tcPr>
            <w:tcW w:w="1478" w:type="dxa"/>
            <w:vMerge w:val="continue"/>
            <w:shd w:val="clear" w:color="auto" w:fill="FFFFFF"/>
            <w:vAlign w:val="center"/>
          </w:tcPr>
          <w:p>
            <w:pPr>
              <w:widowControl/>
              <w:spacing w:line="0" w:lineRule="atLeast"/>
              <w:jc w:val="center"/>
              <w:rPr>
                <w:rFonts w:ascii="宋体" w:hAnsi="宋体" w:cs="宋体"/>
                <w:color w:val="000000"/>
                <w:kern w:val="0"/>
                <w:sz w:val="22"/>
              </w:rPr>
            </w:pPr>
          </w:p>
        </w:tc>
        <w:tc>
          <w:tcPr>
            <w:tcW w:w="1875" w:type="dxa"/>
            <w:tcBorders>
              <w:right w:val="single" w:color="auto" w:sz="4" w:space="0"/>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资金分配</w:t>
            </w:r>
          </w:p>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合理性</w:t>
            </w:r>
          </w:p>
        </w:tc>
        <w:tc>
          <w:tcPr>
            <w:tcW w:w="3885" w:type="dxa"/>
            <w:tcBorders>
              <w:right w:val="single" w:color="auto" w:sz="4" w:space="0"/>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项目预算资金分配是否有测算依据，与补助单位或地方实际是否相适应，用以反映和考核项目预算资金分配的科学性、合理性情况。</w:t>
            </w:r>
          </w:p>
        </w:tc>
        <w:tc>
          <w:tcPr>
            <w:tcW w:w="990" w:type="dxa"/>
            <w:tcBorders>
              <w:left w:val="single" w:color="auto" w:sz="4" w:space="0"/>
            </w:tcBorders>
            <w:shd w:val="clear" w:color="auto" w:fill="FFFFFF"/>
          </w:tcPr>
          <w:p>
            <w:pPr>
              <w:spacing w:line="600" w:lineRule="auto"/>
              <w:jc w:val="center"/>
              <w:rPr>
                <w:rFonts w:hint="eastAsia" w:eastAsia="仿宋_GB2312"/>
                <w:sz w:val="22"/>
                <w:szCs w:val="22"/>
                <w:lang w:val="en-US" w:eastAsia="zh-CN"/>
              </w:rPr>
            </w:pPr>
            <w:r>
              <w:rPr>
                <w:rFonts w:hint="eastAsia"/>
                <w:sz w:val="22"/>
                <w:szCs w:val="22"/>
                <w:lang w:val="en-US" w:eastAsia="zh-CN"/>
              </w:rPr>
              <w:t>5</w:t>
            </w:r>
          </w:p>
        </w:tc>
        <w:tc>
          <w:tcPr>
            <w:tcW w:w="874" w:type="dxa"/>
            <w:shd w:val="clear" w:color="auto" w:fill="FFFFFF"/>
            <w:vAlign w:val="top"/>
          </w:tcPr>
          <w:p>
            <w:pPr>
              <w:spacing w:line="600" w:lineRule="auto"/>
              <w:jc w:val="center"/>
            </w:pPr>
            <w:r>
              <w:rPr>
                <w:rFonts w:hint="eastAsia"/>
                <w:sz w:val="22"/>
                <w:szCs w:val="22"/>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8" w:hRule="atLeast"/>
          <w:jc w:val="center"/>
        </w:trPr>
        <w:tc>
          <w:tcPr>
            <w:tcW w:w="757" w:type="dxa"/>
            <w:vMerge w:val="restart"/>
            <w:shd w:val="clear" w:color="auto" w:fill="FFFFFF"/>
            <w:vAlign w:val="center"/>
          </w:tcPr>
          <w:p>
            <w:pPr>
              <w:spacing w:line="0" w:lineRule="atLeast"/>
              <w:jc w:val="center"/>
              <w:rPr>
                <w:rFonts w:ascii="宋体" w:hAnsi="宋体" w:cs="宋体"/>
                <w:color w:val="000000"/>
                <w:kern w:val="0"/>
                <w:sz w:val="22"/>
              </w:rPr>
            </w:pPr>
            <w:r>
              <w:rPr>
                <w:rFonts w:hint="eastAsia" w:ascii="宋体" w:hAnsi="宋体" w:cs="宋体"/>
                <w:color w:val="000000"/>
                <w:kern w:val="0"/>
                <w:sz w:val="22"/>
              </w:rPr>
              <w:t>过程</w:t>
            </w:r>
          </w:p>
        </w:tc>
        <w:tc>
          <w:tcPr>
            <w:tcW w:w="1478" w:type="dxa"/>
            <w:vMerge w:val="restart"/>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资金管理</w:t>
            </w:r>
          </w:p>
        </w:tc>
        <w:tc>
          <w:tcPr>
            <w:tcW w:w="1875" w:type="dxa"/>
            <w:tcBorders>
              <w:right w:val="single" w:color="auto" w:sz="4" w:space="0"/>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资金到位率</w:t>
            </w:r>
          </w:p>
        </w:tc>
        <w:tc>
          <w:tcPr>
            <w:tcW w:w="3885" w:type="dxa"/>
            <w:tcBorders>
              <w:right w:val="single" w:color="auto" w:sz="4" w:space="0"/>
            </w:tcBorders>
            <w:shd w:val="clear" w:color="000000"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实际到位资金与预算资金的比率，用以反映和考核资金落实情况对项目实施的总体保障程度。</w:t>
            </w:r>
          </w:p>
        </w:tc>
        <w:tc>
          <w:tcPr>
            <w:tcW w:w="990" w:type="dxa"/>
            <w:tcBorders>
              <w:left w:val="single" w:color="auto" w:sz="4" w:space="0"/>
            </w:tcBorders>
            <w:shd w:val="clear" w:color="000000" w:fill="FFFFFF"/>
          </w:tcPr>
          <w:p>
            <w:pPr>
              <w:spacing w:line="600" w:lineRule="auto"/>
              <w:jc w:val="center"/>
              <w:rPr>
                <w:rFonts w:hint="eastAsia" w:eastAsia="仿宋_GB2312"/>
                <w:sz w:val="22"/>
                <w:szCs w:val="22"/>
                <w:lang w:val="en-US" w:eastAsia="zh-CN"/>
              </w:rPr>
            </w:pPr>
            <w:r>
              <w:rPr>
                <w:rFonts w:hint="eastAsia"/>
                <w:sz w:val="22"/>
                <w:szCs w:val="22"/>
                <w:lang w:val="en-US" w:eastAsia="zh-CN"/>
              </w:rPr>
              <w:t>4</w:t>
            </w:r>
          </w:p>
        </w:tc>
        <w:tc>
          <w:tcPr>
            <w:tcW w:w="874" w:type="dxa"/>
            <w:tcBorders>
              <w:bottom w:val="single" w:color="auto" w:sz="4" w:space="0"/>
            </w:tcBorders>
            <w:shd w:val="clear" w:color="000000" w:fill="FFFFFF"/>
            <w:vAlign w:val="top"/>
          </w:tcPr>
          <w:p>
            <w:pPr>
              <w:spacing w:line="600" w:lineRule="auto"/>
              <w:jc w:val="center"/>
            </w:pPr>
            <w:r>
              <w:rPr>
                <w:rFonts w:hint="eastAsia"/>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2" w:hRule="atLeast"/>
          <w:jc w:val="center"/>
        </w:trPr>
        <w:tc>
          <w:tcPr>
            <w:tcW w:w="757" w:type="dxa"/>
            <w:vMerge w:val="continue"/>
            <w:shd w:val="clear" w:color="auto" w:fill="FFFFFF"/>
            <w:vAlign w:val="center"/>
          </w:tcPr>
          <w:p>
            <w:pPr>
              <w:spacing w:line="0" w:lineRule="atLeast"/>
              <w:jc w:val="center"/>
              <w:rPr>
                <w:rFonts w:ascii="宋体" w:hAnsi="宋体" w:cs="宋体"/>
                <w:color w:val="000000"/>
                <w:kern w:val="0"/>
                <w:sz w:val="22"/>
              </w:rPr>
            </w:pPr>
          </w:p>
        </w:tc>
        <w:tc>
          <w:tcPr>
            <w:tcW w:w="1478" w:type="dxa"/>
            <w:vMerge w:val="continue"/>
            <w:shd w:val="clear" w:color="auto" w:fill="FFFFFF"/>
            <w:vAlign w:val="center"/>
          </w:tcPr>
          <w:p>
            <w:pPr>
              <w:spacing w:line="0" w:lineRule="atLeast"/>
              <w:jc w:val="center"/>
              <w:rPr>
                <w:rFonts w:ascii="宋体" w:hAnsi="宋体" w:cs="宋体"/>
                <w:color w:val="000000"/>
                <w:kern w:val="0"/>
                <w:sz w:val="22"/>
              </w:rPr>
            </w:pPr>
          </w:p>
        </w:tc>
        <w:tc>
          <w:tcPr>
            <w:tcW w:w="1875" w:type="dxa"/>
            <w:tcBorders>
              <w:right w:val="single" w:color="auto" w:sz="4" w:space="0"/>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预算执行率</w:t>
            </w:r>
          </w:p>
        </w:tc>
        <w:tc>
          <w:tcPr>
            <w:tcW w:w="3885" w:type="dxa"/>
            <w:tcBorders>
              <w:right w:val="single" w:color="auto" w:sz="4" w:space="0"/>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项目预算资金是否按照计划执行，用以反映或考核项目预算执行情况</w:t>
            </w:r>
          </w:p>
        </w:tc>
        <w:tc>
          <w:tcPr>
            <w:tcW w:w="990" w:type="dxa"/>
            <w:tcBorders>
              <w:left w:val="single" w:color="auto" w:sz="4" w:space="0"/>
            </w:tcBorders>
            <w:shd w:val="clear" w:color="auto" w:fill="FFFFFF"/>
          </w:tcPr>
          <w:p>
            <w:pPr>
              <w:spacing w:line="600" w:lineRule="auto"/>
              <w:jc w:val="center"/>
              <w:rPr>
                <w:rFonts w:hint="eastAsia" w:eastAsia="仿宋_GB2312"/>
                <w:sz w:val="22"/>
                <w:szCs w:val="22"/>
                <w:lang w:val="en-US" w:eastAsia="zh-CN"/>
              </w:rPr>
            </w:pPr>
            <w:r>
              <w:rPr>
                <w:rFonts w:hint="eastAsia"/>
                <w:sz w:val="22"/>
                <w:szCs w:val="22"/>
                <w:lang w:val="en-US" w:eastAsia="zh-CN"/>
              </w:rPr>
              <w:t>4</w:t>
            </w:r>
          </w:p>
        </w:tc>
        <w:tc>
          <w:tcPr>
            <w:tcW w:w="874" w:type="dxa"/>
            <w:tcBorders>
              <w:bottom w:val="single" w:color="auto" w:sz="4" w:space="0"/>
            </w:tcBorders>
            <w:shd w:val="clear" w:color="auto" w:fill="FFFFFF"/>
            <w:vAlign w:val="top"/>
          </w:tcPr>
          <w:p>
            <w:pPr>
              <w:spacing w:line="600" w:lineRule="auto"/>
              <w:jc w:val="center"/>
              <w:rPr>
                <w:rFonts w:hint="default"/>
                <w:lang w:val="en-US"/>
              </w:rPr>
            </w:pPr>
            <w:r>
              <w:rPr>
                <w:rFonts w:hint="eastAsia"/>
                <w:sz w:val="22"/>
                <w:szCs w:val="22"/>
                <w:lang w:val="en-US" w:eastAsia="zh-CN"/>
              </w:rPr>
              <w:t>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7" w:hRule="atLeast"/>
          <w:jc w:val="center"/>
        </w:trPr>
        <w:tc>
          <w:tcPr>
            <w:tcW w:w="757" w:type="dxa"/>
            <w:vMerge w:val="continue"/>
            <w:shd w:val="clear" w:color="auto" w:fill="FFFFFF"/>
            <w:vAlign w:val="center"/>
          </w:tcPr>
          <w:p>
            <w:pPr>
              <w:spacing w:line="0" w:lineRule="atLeast"/>
              <w:jc w:val="center"/>
              <w:rPr>
                <w:rFonts w:ascii="宋体" w:hAnsi="宋体" w:cs="宋体"/>
                <w:color w:val="000000"/>
                <w:kern w:val="0"/>
                <w:sz w:val="22"/>
              </w:rPr>
            </w:pPr>
          </w:p>
        </w:tc>
        <w:tc>
          <w:tcPr>
            <w:tcW w:w="1478" w:type="dxa"/>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资金管理</w:t>
            </w:r>
          </w:p>
        </w:tc>
        <w:tc>
          <w:tcPr>
            <w:tcW w:w="1875" w:type="dxa"/>
            <w:tcBorders>
              <w:right w:val="single" w:color="auto" w:sz="4" w:space="0"/>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资金使用</w:t>
            </w:r>
          </w:p>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合规性</w:t>
            </w:r>
          </w:p>
        </w:tc>
        <w:tc>
          <w:tcPr>
            <w:tcW w:w="3885" w:type="dxa"/>
            <w:tcBorders>
              <w:right w:val="single" w:color="auto" w:sz="4" w:space="0"/>
            </w:tcBorders>
            <w:shd w:val="clear" w:color="000000"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项目资金使用是否符合相关的财务管理制度规定，用以反映和考核项目资金的规范运行情况。</w:t>
            </w:r>
          </w:p>
        </w:tc>
        <w:tc>
          <w:tcPr>
            <w:tcW w:w="990" w:type="dxa"/>
            <w:tcBorders>
              <w:left w:val="single" w:color="auto" w:sz="4" w:space="0"/>
            </w:tcBorders>
            <w:shd w:val="clear" w:color="000000" w:fill="FFFFFF"/>
          </w:tcPr>
          <w:p>
            <w:pPr>
              <w:spacing w:line="600" w:lineRule="auto"/>
              <w:jc w:val="center"/>
              <w:rPr>
                <w:rFonts w:hint="eastAsia" w:eastAsia="仿宋_GB2312"/>
                <w:sz w:val="22"/>
                <w:szCs w:val="22"/>
                <w:lang w:val="en-US" w:eastAsia="zh-CN"/>
              </w:rPr>
            </w:pPr>
            <w:r>
              <w:rPr>
                <w:rFonts w:hint="eastAsia"/>
                <w:sz w:val="22"/>
                <w:szCs w:val="22"/>
                <w:lang w:val="en-US" w:eastAsia="zh-CN"/>
              </w:rPr>
              <w:t>4</w:t>
            </w:r>
          </w:p>
        </w:tc>
        <w:tc>
          <w:tcPr>
            <w:tcW w:w="874" w:type="dxa"/>
            <w:tcBorders>
              <w:bottom w:val="single" w:color="auto" w:sz="4" w:space="0"/>
            </w:tcBorders>
            <w:shd w:val="clear" w:color="000000" w:fill="FFFFFF"/>
            <w:vAlign w:val="top"/>
          </w:tcPr>
          <w:p>
            <w:pPr>
              <w:spacing w:line="600" w:lineRule="auto"/>
              <w:jc w:val="center"/>
            </w:pPr>
            <w:r>
              <w:rPr>
                <w:rFonts w:hint="eastAsia"/>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6" w:hRule="atLeast"/>
          <w:jc w:val="center"/>
        </w:trPr>
        <w:tc>
          <w:tcPr>
            <w:tcW w:w="757" w:type="dxa"/>
            <w:vMerge w:val="continue"/>
            <w:shd w:val="clear" w:color="auto" w:fill="FFFFFF"/>
            <w:vAlign w:val="center"/>
          </w:tcPr>
          <w:p>
            <w:pPr>
              <w:spacing w:line="0" w:lineRule="atLeast"/>
              <w:jc w:val="center"/>
              <w:rPr>
                <w:rFonts w:ascii="宋体" w:hAnsi="宋体" w:cs="宋体"/>
                <w:color w:val="000000"/>
                <w:kern w:val="0"/>
                <w:sz w:val="22"/>
              </w:rPr>
            </w:pPr>
          </w:p>
        </w:tc>
        <w:tc>
          <w:tcPr>
            <w:tcW w:w="1478" w:type="dxa"/>
            <w:vMerge w:val="restart"/>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组织实施</w:t>
            </w:r>
          </w:p>
          <w:p>
            <w:pPr>
              <w:spacing w:line="0" w:lineRule="atLeast"/>
              <w:jc w:val="center"/>
              <w:rPr>
                <w:rFonts w:ascii="宋体" w:hAnsi="宋体" w:cs="宋体"/>
                <w:color w:val="000000"/>
                <w:kern w:val="0"/>
                <w:sz w:val="22"/>
              </w:rPr>
            </w:pPr>
            <w:r>
              <w:rPr>
                <w:rFonts w:hint="eastAsia" w:ascii="宋体" w:hAnsi="宋体" w:cs="宋体"/>
                <w:color w:val="000000"/>
                <w:kern w:val="0"/>
                <w:sz w:val="22"/>
              </w:rPr>
              <w:t>　</w:t>
            </w:r>
          </w:p>
        </w:tc>
        <w:tc>
          <w:tcPr>
            <w:tcW w:w="1875" w:type="dxa"/>
            <w:tcBorders>
              <w:right w:val="single" w:color="auto" w:sz="4" w:space="0"/>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管理制度</w:t>
            </w:r>
          </w:p>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健全性</w:t>
            </w:r>
          </w:p>
        </w:tc>
        <w:tc>
          <w:tcPr>
            <w:tcW w:w="3885" w:type="dxa"/>
            <w:tcBorders>
              <w:right w:val="single" w:color="auto" w:sz="4" w:space="0"/>
            </w:tcBorders>
            <w:shd w:val="clear" w:color="000000"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项目实施单位的财务和业务管理制度是否健全，用以反映和考核财务和业务管理制度对项目顺利实施的保障情况。</w:t>
            </w:r>
          </w:p>
        </w:tc>
        <w:tc>
          <w:tcPr>
            <w:tcW w:w="990" w:type="dxa"/>
            <w:tcBorders>
              <w:left w:val="single" w:color="auto" w:sz="4" w:space="0"/>
            </w:tcBorders>
            <w:shd w:val="clear" w:color="000000" w:fill="FFFFFF"/>
          </w:tcPr>
          <w:p>
            <w:pPr>
              <w:spacing w:line="600" w:lineRule="auto"/>
              <w:jc w:val="center"/>
              <w:rPr>
                <w:rFonts w:hint="default" w:eastAsia="仿宋_GB2312"/>
                <w:sz w:val="22"/>
                <w:szCs w:val="22"/>
                <w:lang w:val="en-US" w:eastAsia="zh-CN"/>
              </w:rPr>
            </w:pPr>
            <w:r>
              <w:rPr>
                <w:rFonts w:hint="eastAsia"/>
                <w:sz w:val="22"/>
                <w:szCs w:val="22"/>
                <w:lang w:val="en-US" w:eastAsia="zh-CN"/>
              </w:rPr>
              <w:t>4</w:t>
            </w:r>
          </w:p>
        </w:tc>
        <w:tc>
          <w:tcPr>
            <w:tcW w:w="874" w:type="dxa"/>
            <w:tcBorders>
              <w:bottom w:val="single" w:color="auto" w:sz="4" w:space="0"/>
            </w:tcBorders>
            <w:shd w:val="clear" w:color="000000" w:fill="FFFFFF"/>
            <w:vAlign w:val="top"/>
          </w:tcPr>
          <w:p>
            <w:pPr>
              <w:spacing w:line="600" w:lineRule="auto"/>
              <w:jc w:val="center"/>
            </w:pPr>
            <w:r>
              <w:rPr>
                <w:rFonts w:hint="eastAsia"/>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77" w:hRule="atLeast"/>
          <w:jc w:val="center"/>
        </w:trPr>
        <w:tc>
          <w:tcPr>
            <w:tcW w:w="757" w:type="dxa"/>
            <w:vMerge w:val="continue"/>
            <w:shd w:val="clear" w:color="auto" w:fill="FFFFFF"/>
            <w:vAlign w:val="center"/>
          </w:tcPr>
          <w:p>
            <w:pPr>
              <w:widowControl/>
              <w:spacing w:line="0" w:lineRule="atLeast"/>
              <w:jc w:val="center"/>
              <w:rPr>
                <w:rFonts w:ascii="宋体" w:hAnsi="宋体" w:cs="宋体"/>
                <w:color w:val="000000"/>
                <w:kern w:val="0"/>
                <w:sz w:val="22"/>
              </w:rPr>
            </w:pPr>
          </w:p>
        </w:tc>
        <w:tc>
          <w:tcPr>
            <w:tcW w:w="1478" w:type="dxa"/>
            <w:vMerge w:val="continue"/>
            <w:shd w:val="clear" w:color="auto" w:fill="FFFFFF"/>
            <w:vAlign w:val="center"/>
          </w:tcPr>
          <w:p>
            <w:pPr>
              <w:widowControl/>
              <w:spacing w:line="0" w:lineRule="atLeast"/>
              <w:jc w:val="center"/>
              <w:rPr>
                <w:rFonts w:ascii="宋体" w:hAnsi="宋体" w:cs="宋体"/>
                <w:color w:val="000000"/>
                <w:kern w:val="0"/>
                <w:sz w:val="22"/>
              </w:rPr>
            </w:pPr>
          </w:p>
        </w:tc>
        <w:tc>
          <w:tcPr>
            <w:tcW w:w="1875" w:type="dxa"/>
            <w:tcBorders>
              <w:right w:val="single" w:color="auto" w:sz="4" w:space="0"/>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制度执行</w:t>
            </w:r>
          </w:p>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有效性</w:t>
            </w:r>
          </w:p>
        </w:tc>
        <w:tc>
          <w:tcPr>
            <w:tcW w:w="3885" w:type="dxa"/>
            <w:tcBorders>
              <w:right w:val="single" w:color="auto" w:sz="4" w:space="0"/>
            </w:tcBorders>
            <w:shd w:val="clear" w:color="000000"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项目实施是否符合相关管理规定，用以反映和考核相关管理制度的有效执行情况。</w:t>
            </w:r>
          </w:p>
        </w:tc>
        <w:tc>
          <w:tcPr>
            <w:tcW w:w="990" w:type="dxa"/>
            <w:tcBorders>
              <w:left w:val="single" w:color="auto" w:sz="4" w:space="0"/>
            </w:tcBorders>
            <w:shd w:val="clear" w:color="000000" w:fill="FFFFFF"/>
          </w:tcPr>
          <w:p>
            <w:pPr>
              <w:spacing w:line="600" w:lineRule="auto"/>
              <w:jc w:val="center"/>
              <w:rPr>
                <w:rFonts w:hint="default" w:eastAsia="仿宋_GB2312"/>
                <w:sz w:val="22"/>
                <w:szCs w:val="22"/>
                <w:lang w:val="en-US" w:eastAsia="zh-CN"/>
              </w:rPr>
            </w:pPr>
            <w:r>
              <w:rPr>
                <w:rFonts w:hint="eastAsia"/>
                <w:sz w:val="22"/>
                <w:szCs w:val="22"/>
                <w:lang w:val="en-US" w:eastAsia="zh-CN"/>
              </w:rPr>
              <w:t>4</w:t>
            </w:r>
          </w:p>
        </w:tc>
        <w:tc>
          <w:tcPr>
            <w:tcW w:w="874" w:type="dxa"/>
            <w:tcBorders>
              <w:bottom w:val="single" w:color="auto" w:sz="4" w:space="0"/>
            </w:tcBorders>
            <w:shd w:val="clear" w:color="000000" w:fill="FFFFFF"/>
            <w:vAlign w:val="top"/>
          </w:tcPr>
          <w:p>
            <w:pPr>
              <w:spacing w:line="600" w:lineRule="auto"/>
              <w:jc w:val="center"/>
            </w:pPr>
            <w:r>
              <w:rPr>
                <w:rFonts w:hint="eastAsia"/>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6" w:hRule="atLeast"/>
          <w:jc w:val="center"/>
        </w:trPr>
        <w:tc>
          <w:tcPr>
            <w:tcW w:w="757" w:type="dxa"/>
            <w:vMerge w:val="restart"/>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产出</w:t>
            </w:r>
          </w:p>
        </w:tc>
        <w:tc>
          <w:tcPr>
            <w:tcW w:w="1478" w:type="dxa"/>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产出数量</w:t>
            </w:r>
          </w:p>
        </w:tc>
        <w:tc>
          <w:tcPr>
            <w:tcW w:w="1875" w:type="dxa"/>
            <w:tcBorders>
              <w:right w:val="single" w:color="auto" w:sz="4" w:space="0"/>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实际完成率</w:t>
            </w:r>
          </w:p>
        </w:tc>
        <w:tc>
          <w:tcPr>
            <w:tcW w:w="3885" w:type="dxa"/>
            <w:tcBorders>
              <w:right w:val="single" w:color="auto" w:sz="4" w:space="0"/>
            </w:tcBorders>
            <w:shd w:val="clear" w:color="000000"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项目实施的实际产出数与计划产出数的比率，用以反映和考核项目产出数量目标的实现程度。</w:t>
            </w:r>
          </w:p>
        </w:tc>
        <w:tc>
          <w:tcPr>
            <w:tcW w:w="990" w:type="dxa"/>
            <w:tcBorders>
              <w:left w:val="single" w:color="auto" w:sz="4" w:space="0"/>
            </w:tcBorders>
            <w:shd w:val="clear" w:color="000000" w:fill="FFFFFF"/>
          </w:tcPr>
          <w:p>
            <w:pPr>
              <w:spacing w:line="600" w:lineRule="auto"/>
              <w:jc w:val="center"/>
              <w:rPr>
                <w:rFonts w:hint="default" w:eastAsia="仿宋_GB2312"/>
                <w:sz w:val="22"/>
                <w:szCs w:val="22"/>
                <w:lang w:val="en-US" w:eastAsia="zh-CN"/>
              </w:rPr>
            </w:pPr>
            <w:r>
              <w:rPr>
                <w:rFonts w:hint="eastAsia"/>
                <w:sz w:val="22"/>
                <w:szCs w:val="22"/>
                <w:lang w:val="en-US" w:eastAsia="zh-CN"/>
              </w:rPr>
              <w:t>10</w:t>
            </w:r>
          </w:p>
        </w:tc>
        <w:tc>
          <w:tcPr>
            <w:tcW w:w="874" w:type="dxa"/>
            <w:shd w:val="clear" w:color="000000" w:fill="FFFFFF"/>
            <w:vAlign w:val="top"/>
          </w:tcPr>
          <w:p>
            <w:pPr>
              <w:spacing w:line="600" w:lineRule="auto"/>
              <w:jc w:val="center"/>
              <w:rPr>
                <w:rFonts w:hint="default"/>
                <w:lang w:val="en-US"/>
              </w:rPr>
            </w:pPr>
            <w:r>
              <w:rPr>
                <w:rFonts w:hint="eastAsia"/>
                <w:sz w:val="22"/>
                <w:szCs w:val="22"/>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jc w:val="center"/>
        </w:trPr>
        <w:tc>
          <w:tcPr>
            <w:tcW w:w="757" w:type="dxa"/>
            <w:vMerge w:val="continue"/>
            <w:shd w:val="clear" w:color="auto" w:fill="FFFFFF"/>
            <w:vAlign w:val="center"/>
          </w:tcPr>
          <w:p>
            <w:pPr>
              <w:widowControl/>
              <w:spacing w:line="0" w:lineRule="atLeast"/>
              <w:jc w:val="center"/>
              <w:rPr>
                <w:rFonts w:ascii="宋体" w:hAnsi="宋体" w:cs="宋体"/>
                <w:color w:val="000000"/>
                <w:kern w:val="0"/>
                <w:sz w:val="22"/>
              </w:rPr>
            </w:pPr>
          </w:p>
        </w:tc>
        <w:tc>
          <w:tcPr>
            <w:tcW w:w="1478" w:type="dxa"/>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产出质量</w:t>
            </w:r>
          </w:p>
        </w:tc>
        <w:tc>
          <w:tcPr>
            <w:tcW w:w="1875" w:type="dxa"/>
            <w:tcBorders>
              <w:right w:val="single" w:color="auto" w:sz="4" w:space="0"/>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质量达标率</w:t>
            </w:r>
          </w:p>
        </w:tc>
        <w:tc>
          <w:tcPr>
            <w:tcW w:w="3885" w:type="dxa"/>
            <w:tcBorders>
              <w:right w:val="single" w:color="auto" w:sz="4" w:space="0"/>
            </w:tcBorders>
            <w:shd w:val="clear" w:color="000000"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项目完成的质量达标产出数与实际产出数的比率，用以反映和考核项目产出质量目标的实现程度。</w:t>
            </w:r>
          </w:p>
        </w:tc>
        <w:tc>
          <w:tcPr>
            <w:tcW w:w="990" w:type="dxa"/>
            <w:tcBorders>
              <w:left w:val="single" w:color="auto" w:sz="4" w:space="0"/>
            </w:tcBorders>
            <w:shd w:val="clear" w:color="000000" w:fill="FFFFFF"/>
          </w:tcPr>
          <w:p>
            <w:pPr>
              <w:spacing w:line="600" w:lineRule="auto"/>
              <w:jc w:val="center"/>
              <w:rPr>
                <w:rFonts w:hint="default" w:eastAsia="仿宋_GB2312"/>
                <w:sz w:val="22"/>
                <w:szCs w:val="22"/>
                <w:lang w:val="en-US" w:eastAsia="zh-CN"/>
              </w:rPr>
            </w:pPr>
            <w:r>
              <w:rPr>
                <w:rFonts w:hint="eastAsia"/>
                <w:sz w:val="22"/>
                <w:szCs w:val="22"/>
                <w:lang w:val="en-US" w:eastAsia="zh-CN"/>
              </w:rPr>
              <w:t>10</w:t>
            </w:r>
          </w:p>
        </w:tc>
        <w:tc>
          <w:tcPr>
            <w:tcW w:w="874" w:type="dxa"/>
            <w:shd w:val="clear" w:color="000000" w:fill="FFFFFF"/>
            <w:vAlign w:val="top"/>
          </w:tcPr>
          <w:p>
            <w:pPr>
              <w:spacing w:line="600" w:lineRule="auto"/>
              <w:jc w:val="center"/>
              <w:rPr>
                <w:rFonts w:hint="default"/>
                <w:lang w:val="en-US"/>
              </w:rPr>
            </w:pPr>
            <w:r>
              <w:rPr>
                <w:rFonts w:hint="eastAsia"/>
                <w:sz w:val="22"/>
                <w:szCs w:val="22"/>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9" w:hRule="atLeast"/>
          <w:jc w:val="center"/>
        </w:trPr>
        <w:tc>
          <w:tcPr>
            <w:tcW w:w="757" w:type="dxa"/>
            <w:vMerge w:val="continue"/>
            <w:shd w:val="clear" w:color="auto" w:fill="FFFFFF"/>
            <w:vAlign w:val="center"/>
          </w:tcPr>
          <w:p>
            <w:pPr>
              <w:spacing w:line="0" w:lineRule="atLeast"/>
              <w:jc w:val="center"/>
              <w:rPr>
                <w:rFonts w:ascii="宋体" w:hAnsi="宋体" w:cs="宋体"/>
                <w:color w:val="000000"/>
                <w:kern w:val="0"/>
                <w:sz w:val="22"/>
              </w:rPr>
            </w:pPr>
          </w:p>
        </w:tc>
        <w:tc>
          <w:tcPr>
            <w:tcW w:w="1478" w:type="dxa"/>
            <w:shd w:val="clear" w:color="auto" w:fill="FFFFFF"/>
            <w:vAlign w:val="center"/>
          </w:tcPr>
          <w:p>
            <w:pPr>
              <w:spacing w:line="0" w:lineRule="atLeast"/>
              <w:jc w:val="center"/>
              <w:rPr>
                <w:rFonts w:ascii="宋体" w:hAnsi="宋体" w:cs="宋体"/>
                <w:color w:val="000000"/>
                <w:kern w:val="0"/>
                <w:sz w:val="22"/>
              </w:rPr>
            </w:pPr>
            <w:r>
              <w:rPr>
                <w:rFonts w:hint="eastAsia" w:ascii="宋体" w:hAnsi="宋体" w:cs="宋体"/>
                <w:color w:val="000000"/>
                <w:kern w:val="0"/>
                <w:sz w:val="22"/>
              </w:rPr>
              <w:t>产出时效</w:t>
            </w:r>
          </w:p>
        </w:tc>
        <w:tc>
          <w:tcPr>
            <w:tcW w:w="1875" w:type="dxa"/>
            <w:tcBorders>
              <w:right w:val="single" w:color="auto" w:sz="4" w:space="0"/>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完成及时性</w:t>
            </w:r>
          </w:p>
        </w:tc>
        <w:tc>
          <w:tcPr>
            <w:tcW w:w="3885" w:type="dxa"/>
            <w:tcBorders>
              <w:right w:val="single" w:color="auto" w:sz="4" w:space="0"/>
            </w:tcBorders>
            <w:shd w:val="clear" w:color="000000"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项目实际完成时间与计划完成时间的比较，用以反映和考核项目产出时效目标的实现程度。</w:t>
            </w:r>
          </w:p>
        </w:tc>
        <w:tc>
          <w:tcPr>
            <w:tcW w:w="990" w:type="dxa"/>
            <w:tcBorders>
              <w:left w:val="single" w:color="auto" w:sz="4" w:space="0"/>
            </w:tcBorders>
            <w:shd w:val="clear" w:color="000000" w:fill="FFFFFF"/>
          </w:tcPr>
          <w:p>
            <w:pPr>
              <w:spacing w:line="600" w:lineRule="auto"/>
              <w:jc w:val="center"/>
              <w:rPr>
                <w:rFonts w:hint="default" w:eastAsia="仿宋_GB2312"/>
                <w:sz w:val="22"/>
                <w:szCs w:val="22"/>
                <w:lang w:val="en-US" w:eastAsia="zh-CN"/>
              </w:rPr>
            </w:pPr>
            <w:r>
              <w:rPr>
                <w:rFonts w:hint="eastAsia"/>
                <w:sz w:val="22"/>
                <w:szCs w:val="22"/>
                <w:lang w:val="en-US" w:eastAsia="zh-CN"/>
              </w:rPr>
              <w:t>10</w:t>
            </w:r>
          </w:p>
        </w:tc>
        <w:tc>
          <w:tcPr>
            <w:tcW w:w="874" w:type="dxa"/>
            <w:shd w:val="clear" w:color="000000" w:fill="FFFFFF"/>
            <w:vAlign w:val="top"/>
          </w:tcPr>
          <w:p>
            <w:pPr>
              <w:spacing w:line="600" w:lineRule="auto"/>
              <w:jc w:val="center"/>
            </w:pPr>
            <w:r>
              <w:rPr>
                <w:rFonts w:hint="eastAsia"/>
                <w:sz w:val="22"/>
                <w:szCs w:val="22"/>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6" w:hRule="atLeast"/>
          <w:jc w:val="center"/>
        </w:trPr>
        <w:tc>
          <w:tcPr>
            <w:tcW w:w="757" w:type="dxa"/>
            <w:vMerge w:val="continue"/>
            <w:shd w:val="clear" w:color="auto" w:fill="FFFFFF"/>
            <w:vAlign w:val="center"/>
          </w:tcPr>
          <w:p>
            <w:pPr>
              <w:widowControl/>
              <w:spacing w:line="0" w:lineRule="atLeast"/>
              <w:jc w:val="center"/>
              <w:rPr>
                <w:rFonts w:ascii="宋体" w:hAnsi="宋体" w:cs="宋体"/>
                <w:color w:val="000000"/>
                <w:kern w:val="0"/>
                <w:sz w:val="22"/>
              </w:rPr>
            </w:pPr>
          </w:p>
        </w:tc>
        <w:tc>
          <w:tcPr>
            <w:tcW w:w="1478" w:type="dxa"/>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产出成本</w:t>
            </w:r>
          </w:p>
        </w:tc>
        <w:tc>
          <w:tcPr>
            <w:tcW w:w="1875" w:type="dxa"/>
            <w:tcBorders>
              <w:right w:val="single" w:color="auto" w:sz="4" w:space="0"/>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成本节约率</w:t>
            </w:r>
          </w:p>
        </w:tc>
        <w:tc>
          <w:tcPr>
            <w:tcW w:w="3885" w:type="dxa"/>
            <w:tcBorders>
              <w:right w:val="single" w:color="auto" w:sz="4" w:space="0"/>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完成项目计划工作目标的实际节约成本与计划成本的比率，用以反映和考核项目的成本节约程度。</w:t>
            </w:r>
          </w:p>
        </w:tc>
        <w:tc>
          <w:tcPr>
            <w:tcW w:w="990" w:type="dxa"/>
            <w:tcBorders>
              <w:left w:val="single" w:color="auto" w:sz="4" w:space="0"/>
            </w:tcBorders>
            <w:shd w:val="clear" w:color="auto" w:fill="FFFFFF"/>
          </w:tcPr>
          <w:p>
            <w:pPr>
              <w:spacing w:line="600" w:lineRule="auto"/>
              <w:jc w:val="center"/>
              <w:rPr>
                <w:rFonts w:hint="default" w:eastAsia="仿宋_GB2312"/>
                <w:sz w:val="22"/>
                <w:szCs w:val="22"/>
                <w:lang w:val="en-US" w:eastAsia="zh-CN"/>
              </w:rPr>
            </w:pPr>
            <w:r>
              <w:rPr>
                <w:rFonts w:hint="eastAsia"/>
                <w:sz w:val="22"/>
                <w:szCs w:val="22"/>
                <w:lang w:val="en-US" w:eastAsia="zh-CN"/>
              </w:rPr>
              <w:t>10</w:t>
            </w:r>
          </w:p>
        </w:tc>
        <w:tc>
          <w:tcPr>
            <w:tcW w:w="874" w:type="dxa"/>
            <w:shd w:val="clear" w:color="auto" w:fill="FFFFFF"/>
            <w:vAlign w:val="top"/>
          </w:tcPr>
          <w:p>
            <w:pPr>
              <w:spacing w:line="600" w:lineRule="auto"/>
              <w:jc w:val="center"/>
            </w:pPr>
            <w:r>
              <w:rPr>
                <w:rFonts w:hint="eastAsia"/>
                <w:sz w:val="22"/>
                <w:szCs w:val="22"/>
                <w:lang w:val="en-US" w:eastAsia="zh-CN"/>
              </w:rPr>
              <w:t>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5" w:hRule="atLeast"/>
          <w:jc w:val="center"/>
        </w:trPr>
        <w:tc>
          <w:tcPr>
            <w:tcW w:w="757" w:type="dxa"/>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效益　</w:t>
            </w:r>
          </w:p>
        </w:tc>
        <w:tc>
          <w:tcPr>
            <w:tcW w:w="1478" w:type="dxa"/>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项目效益　</w:t>
            </w:r>
          </w:p>
        </w:tc>
        <w:tc>
          <w:tcPr>
            <w:tcW w:w="1875" w:type="dxa"/>
            <w:tcBorders>
              <w:right w:val="single" w:color="auto" w:sz="4" w:space="0"/>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满意度</w:t>
            </w:r>
          </w:p>
        </w:tc>
        <w:tc>
          <w:tcPr>
            <w:tcW w:w="3885" w:type="dxa"/>
            <w:tcBorders>
              <w:right w:val="single" w:color="auto" w:sz="4" w:space="0"/>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社会公众或服务对象对项目实施效果的满意程度。</w:t>
            </w:r>
          </w:p>
        </w:tc>
        <w:tc>
          <w:tcPr>
            <w:tcW w:w="990" w:type="dxa"/>
            <w:tcBorders>
              <w:left w:val="single" w:color="auto" w:sz="4" w:space="0"/>
            </w:tcBorders>
            <w:shd w:val="clear" w:color="auto" w:fill="FFFFFF"/>
          </w:tcPr>
          <w:p>
            <w:pPr>
              <w:spacing w:line="600" w:lineRule="auto"/>
              <w:jc w:val="center"/>
              <w:rPr>
                <w:rFonts w:hint="default" w:eastAsia="仿宋_GB2312"/>
                <w:sz w:val="22"/>
                <w:szCs w:val="22"/>
                <w:lang w:val="en-US" w:eastAsia="zh-CN"/>
              </w:rPr>
            </w:pPr>
            <w:r>
              <w:rPr>
                <w:rFonts w:hint="eastAsia"/>
                <w:sz w:val="22"/>
                <w:szCs w:val="22"/>
                <w:lang w:val="en-US" w:eastAsia="zh-CN"/>
              </w:rPr>
              <w:t>20</w:t>
            </w:r>
          </w:p>
        </w:tc>
        <w:tc>
          <w:tcPr>
            <w:tcW w:w="874" w:type="dxa"/>
            <w:shd w:val="clear" w:color="auto" w:fill="FFFFFF"/>
            <w:vAlign w:val="top"/>
          </w:tcPr>
          <w:p>
            <w:pPr>
              <w:spacing w:line="600" w:lineRule="auto"/>
              <w:jc w:val="center"/>
              <w:rPr>
                <w:rFonts w:hint="default"/>
                <w:lang w:val="en-US"/>
              </w:rPr>
            </w:pPr>
            <w:r>
              <w:rPr>
                <w:rFonts w:hint="eastAsia"/>
                <w:sz w:val="22"/>
                <w:szCs w:val="22"/>
                <w:lang w:val="en-US" w:eastAsia="zh-CN"/>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2" w:hRule="atLeast"/>
          <w:jc w:val="center"/>
        </w:trPr>
        <w:tc>
          <w:tcPr>
            <w:tcW w:w="4110" w:type="dxa"/>
            <w:gridSpan w:val="3"/>
            <w:tcBorders>
              <w:right w:val="single" w:color="auto" w:sz="4" w:space="0"/>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b/>
                <w:bCs/>
                <w:color w:val="000000"/>
                <w:kern w:val="0"/>
                <w:sz w:val="22"/>
              </w:rPr>
              <w:t>总分</w:t>
            </w:r>
          </w:p>
        </w:tc>
        <w:tc>
          <w:tcPr>
            <w:tcW w:w="3885" w:type="dxa"/>
            <w:tcBorders>
              <w:right w:val="single" w:color="auto" w:sz="4" w:space="0"/>
            </w:tcBorders>
            <w:shd w:val="clear" w:color="auto" w:fill="FFFFFF"/>
          </w:tcPr>
          <w:p>
            <w:pPr>
              <w:widowControl/>
              <w:spacing w:line="0" w:lineRule="atLeast"/>
              <w:jc w:val="center"/>
              <w:rPr>
                <w:rFonts w:ascii="宋体" w:hAnsi="宋体" w:cs="宋体"/>
                <w:color w:val="000000"/>
                <w:kern w:val="0"/>
                <w:sz w:val="22"/>
              </w:rPr>
            </w:pPr>
          </w:p>
        </w:tc>
        <w:tc>
          <w:tcPr>
            <w:tcW w:w="990" w:type="dxa"/>
            <w:tcBorders>
              <w:left w:val="single" w:color="auto" w:sz="4" w:space="0"/>
            </w:tcBorders>
            <w:shd w:val="clear" w:color="auto" w:fill="FFFFFF"/>
            <w:vAlign w:val="center"/>
          </w:tcPr>
          <w:p>
            <w:pPr>
              <w:widowControl/>
              <w:spacing w:line="0" w:lineRule="atLeast"/>
              <w:jc w:val="center"/>
              <w:rPr>
                <w:rFonts w:hint="default" w:ascii="宋体" w:hAnsi="宋体" w:eastAsia="仿宋_GB2312" w:cs="宋体"/>
                <w:color w:val="000000"/>
                <w:kern w:val="0"/>
                <w:sz w:val="22"/>
                <w:lang w:val="en-US" w:eastAsia="zh-CN"/>
              </w:rPr>
            </w:pPr>
            <w:r>
              <w:rPr>
                <w:rFonts w:hint="eastAsia" w:ascii="宋体" w:hAnsi="宋体" w:cs="宋体"/>
                <w:color w:val="000000"/>
                <w:kern w:val="0"/>
                <w:sz w:val="22"/>
                <w:lang w:val="en-US" w:eastAsia="zh-CN"/>
              </w:rPr>
              <w:t>100</w:t>
            </w:r>
          </w:p>
        </w:tc>
        <w:tc>
          <w:tcPr>
            <w:tcW w:w="874" w:type="dxa"/>
            <w:shd w:val="clear" w:color="auto" w:fill="FFFFFF"/>
            <w:vAlign w:val="center"/>
          </w:tcPr>
          <w:p>
            <w:pPr>
              <w:widowControl/>
              <w:spacing w:line="0" w:lineRule="atLeast"/>
              <w:jc w:val="center"/>
              <w:rPr>
                <w:rFonts w:hint="default" w:ascii="宋体" w:hAnsi="宋体" w:eastAsia="仿宋_GB2312" w:cs="宋体"/>
                <w:color w:val="000000"/>
                <w:kern w:val="0"/>
                <w:sz w:val="22"/>
                <w:lang w:val="en-US" w:eastAsia="zh-CN"/>
              </w:rPr>
            </w:pPr>
            <w:r>
              <w:rPr>
                <w:rFonts w:hint="eastAsia" w:ascii="宋体" w:hAnsi="宋体" w:cs="宋体"/>
                <w:color w:val="000000"/>
                <w:kern w:val="0"/>
                <w:sz w:val="22"/>
                <w:lang w:val="en-US" w:eastAsia="zh-CN"/>
              </w:rPr>
              <w:t>97.7</w:t>
            </w:r>
          </w:p>
        </w:tc>
      </w:tr>
    </w:tbl>
    <w:p>
      <w:pPr>
        <w:pStyle w:val="2"/>
        <w:sectPr>
          <w:pgSz w:w="11906" w:h="16838"/>
          <w:pgMar w:top="1928" w:right="1531" w:bottom="1701" w:left="1531" w:header="737" w:footer="851" w:gutter="0"/>
          <w:cols w:space="720" w:num="1"/>
          <w:docGrid w:type="lines" w:linePitch="408" w:charSpace="0"/>
        </w:sectPr>
      </w:pPr>
    </w:p>
    <w:p>
      <w:pPr>
        <w:spacing w:line="360" w:lineRule="auto"/>
        <w:rPr>
          <w:color w:val="auto"/>
        </w:rPr>
      </w:pPr>
      <w:r>
        <w:rPr>
          <w:rFonts w:hint="eastAsia"/>
          <w:color w:val="auto"/>
        </w:rPr>
        <w:t>3、评价方法</w:t>
      </w:r>
    </w:p>
    <w:p>
      <w:pPr>
        <w:pageBreakBefore w:val="0"/>
        <w:kinsoku/>
        <w:wordWrap/>
        <w:overflowPunct/>
        <w:topLinePunct w:val="0"/>
        <w:autoSpaceDE/>
        <w:autoSpaceDN/>
        <w:bidi w:val="0"/>
        <w:adjustRightInd/>
        <w:snapToGrid/>
        <w:spacing w:line="540" w:lineRule="exact"/>
        <w:ind w:firstLine="640" w:firstLineChars="200"/>
        <w:jc w:val="both"/>
        <w:outlineLvl w:val="0"/>
        <w:rPr>
          <w:color w:val="auto"/>
        </w:rPr>
      </w:pPr>
      <w:r>
        <w:rPr>
          <w:rFonts w:hint="default" w:ascii="Times New Roman" w:hAnsi="Times New Roman" w:eastAsia="方正仿宋_GBK" w:cs="Times New Roman"/>
          <w:sz w:val="32"/>
          <w:szCs w:val="32"/>
          <w:lang w:val="en-US" w:eastAsia="zh-CN"/>
        </w:rPr>
        <w:t>本次项目支出绩效自评采用因素分析方法，原因是：考虑本县实际情况进行合理分析。</w:t>
      </w:r>
    </w:p>
    <w:p>
      <w:pPr>
        <w:spacing w:line="360" w:lineRule="auto"/>
        <w:rPr>
          <w:color w:val="auto"/>
        </w:rPr>
      </w:pPr>
      <w:r>
        <w:rPr>
          <w:rFonts w:hint="eastAsia"/>
          <w:color w:val="auto"/>
        </w:rPr>
        <w:t>4、评价标准</w:t>
      </w:r>
    </w:p>
    <w:p>
      <w:pPr>
        <w:pageBreakBefore w:val="0"/>
        <w:kinsoku/>
        <w:wordWrap/>
        <w:overflowPunct/>
        <w:topLinePunct w:val="0"/>
        <w:autoSpaceDE/>
        <w:autoSpaceDN/>
        <w:bidi w:val="0"/>
        <w:adjustRightInd/>
        <w:snapToGrid/>
        <w:spacing w:line="540" w:lineRule="exact"/>
        <w:ind w:firstLine="640" w:firstLineChars="200"/>
        <w:jc w:val="both"/>
        <w:outlineLvl w:val="0"/>
        <w:rPr>
          <w:rFonts w:hint="default" w:ascii="Times New Roman" w:hAnsi="Times New Roman" w:eastAsia="方正仿宋_GBK" w:cs="Times New Roman"/>
          <w:sz w:val="32"/>
          <w:szCs w:val="32"/>
          <w:lang w:val="en-US" w:eastAsia="zh-CN"/>
        </w:rPr>
      </w:pPr>
      <w:bookmarkStart w:id="6" w:name="_Toc68703833"/>
      <w:r>
        <w:rPr>
          <w:rFonts w:hint="default" w:ascii="Times New Roman" w:hAnsi="Times New Roman" w:eastAsia="方正仿宋_GBK" w:cs="Times New Roman"/>
          <w:sz w:val="32"/>
          <w:szCs w:val="32"/>
          <w:lang w:val="en-US" w:eastAsia="zh-CN"/>
        </w:rPr>
        <w:t>本次项目支出绩效自评采用计划标准，原因是：实现科学、合理、合规实施项目。</w:t>
      </w:r>
    </w:p>
    <w:p>
      <w:pPr>
        <w:pStyle w:val="4"/>
        <w:spacing w:line="360" w:lineRule="auto"/>
        <w:rPr>
          <w:rFonts w:ascii="仿宋_GB2312" w:eastAsia="仿宋_GB2312"/>
          <w:b w:val="0"/>
          <w:bCs w:val="0"/>
          <w:color w:val="auto"/>
        </w:rPr>
      </w:pPr>
      <w:r>
        <w:rPr>
          <w:rFonts w:hint="eastAsia" w:ascii="仿宋_GB2312" w:eastAsia="仿宋_GB2312"/>
          <w:b w:val="0"/>
          <w:bCs w:val="0"/>
          <w:color w:val="auto"/>
        </w:rPr>
        <w:t>（三）绩效评价工作过程。</w:t>
      </w:r>
      <w:bookmarkEnd w:id="6"/>
    </w:p>
    <w:p>
      <w:pPr>
        <w:pageBreakBefore w:val="0"/>
        <w:kinsoku/>
        <w:wordWrap/>
        <w:overflowPunct/>
        <w:topLinePunct w:val="0"/>
        <w:autoSpaceDE/>
        <w:autoSpaceDN/>
        <w:bidi w:val="0"/>
        <w:adjustRightInd/>
        <w:snapToGrid/>
        <w:spacing w:line="540" w:lineRule="exact"/>
        <w:ind w:firstLine="640" w:firstLineChars="200"/>
        <w:jc w:val="both"/>
        <w:outlineLvl w:val="0"/>
        <w:rPr>
          <w:rFonts w:hint="default" w:ascii="Times New Roman" w:hAnsi="Times New Roman" w:eastAsia="方正仿宋_GBK" w:cs="Times New Roman"/>
          <w:sz w:val="32"/>
          <w:szCs w:val="32"/>
          <w:lang w:val="en-US" w:eastAsia="zh-CN"/>
        </w:rPr>
      </w:pPr>
      <w:bookmarkStart w:id="7" w:name="_Toc68703834"/>
      <w:r>
        <w:rPr>
          <w:rFonts w:hint="default" w:ascii="Times New Roman" w:hAnsi="Times New Roman" w:eastAsia="方正仿宋_GBK" w:cs="Times New Roman"/>
          <w:sz w:val="32"/>
          <w:szCs w:val="32"/>
          <w:lang w:val="en-US" w:eastAsia="zh-CN"/>
        </w:rPr>
        <w:t>1.前期准备。首先成立评价工作组，开展前期调研；其次明确项目绩效目标，设计绩效评价指标体系并确定绩效评价方法；设计清单；最后制定评价实施方案并进行论证。</w:t>
      </w:r>
    </w:p>
    <w:p>
      <w:pPr>
        <w:pageBreakBefore w:val="0"/>
        <w:kinsoku/>
        <w:wordWrap/>
        <w:overflowPunct/>
        <w:topLinePunct w:val="0"/>
        <w:autoSpaceDE/>
        <w:autoSpaceDN/>
        <w:bidi w:val="0"/>
        <w:adjustRightInd/>
        <w:snapToGrid/>
        <w:spacing w:line="540" w:lineRule="exact"/>
        <w:ind w:firstLine="640" w:firstLineChars="200"/>
        <w:jc w:val="both"/>
        <w:outlineLvl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组织实施。制定绩效评价工作方案，具体包括项目概况、评价思路、方法手段、组织实施、进度安排等。收集项目立项依据、相关会议纪要、实施方案、财政资金分配方案、支付管理情况等相关评价资料并进行梳理。</w:t>
      </w:r>
    </w:p>
    <w:p>
      <w:pPr>
        <w:pageBreakBefore w:val="0"/>
        <w:kinsoku/>
        <w:wordWrap/>
        <w:overflowPunct/>
        <w:topLinePunct w:val="0"/>
        <w:autoSpaceDE/>
        <w:autoSpaceDN/>
        <w:bidi w:val="0"/>
        <w:adjustRightInd/>
        <w:snapToGrid/>
        <w:spacing w:line="540" w:lineRule="exact"/>
        <w:ind w:firstLine="640" w:firstLineChars="200"/>
        <w:jc w:val="both"/>
        <w:outlineLvl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3.分析评价。根据收集梳理的资料围绕项目立项、资金落实、业务管理、财务管理、项目产出、项目效益等内容，对照已确定的绩效评价指标进行详细全面的分析评价，逐项打分并形成绩效评价最终结果。</w:t>
      </w:r>
    </w:p>
    <w:p>
      <w:pPr>
        <w:pStyle w:val="3"/>
        <w:spacing w:line="360" w:lineRule="auto"/>
        <w:rPr>
          <w:rFonts w:ascii="宋体" w:hAnsi="宋体" w:eastAsia="宋体"/>
          <w:color w:val="auto"/>
          <w:sz w:val="32"/>
          <w:szCs w:val="32"/>
        </w:rPr>
      </w:pPr>
      <w:r>
        <w:rPr>
          <w:rFonts w:hint="eastAsia" w:ascii="宋体" w:hAnsi="宋体" w:eastAsia="宋体"/>
          <w:color w:val="auto"/>
          <w:sz w:val="32"/>
          <w:szCs w:val="32"/>
        </w:rPr>
        <w:t>三、综合评价情况及评价结论</w:t>
      </w:r>
      <w:bookmarkEnd w:id="7"/>
    </w:p>
    <w:p>
      <w:pPr>
        <w:pStyle w:val="4"/>
        <w:spacing w:line="360" w:lineRule="auto"/>
        <w:rPr>
          <w:rFonts w:ascii="仿宋_GB2312" w:eastAsia="仿宋_GB2312"/>
          <w:b w:val="0"/>
          <w:bCs w:val="0"/>
          <w:color w:val="auto"/>
        </w:rPr>
      </w:pPr>
      <w:bookmarkStart w:id="8" w:name="_Toc68703835"/>
      <w:r>
        <w:rPr>
          <w:rFonts w:hint="eastAsia" w:ascii="仿宋_GB2312" w:eastAsia="仿宋_GB2312"/>
          <w:b w:val="0"/>
          <w:bCs w:val="0"/>
          <w:color w:val="auto"/>
        </w:rPr>
        <w:t>（一）综合评价情况</w:t>
      </w:r>
      <w:bookmarkEnd w:id="8"/>
    </w:p>
    <w:p>
      <w:pPr>
        <w:pageBreakBefore w:val="0"/>
        <w:kinsoku/>
        <w:wordWrap/>
        <w:overflowPunct/>
        <w:topLinePunct w:val="0"/>
        <w:autoSpaceDE/>
        <w:autoSpaceDN/>
        <w:bidi w:val="0"/>
        <w:adjustRightInd/>
        <w:snapToGrid/>
        <w:spacing w:line="540" w:lineRule="exact"/>
        <w:ind w:firstLine="640" w:firstLineChars="200"/>
        <w:jc w:val="both"/>
        <w:outlineLvl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项目严格按照科学公正绩效评价原则，采用因素分析方法评价方法，坚持计划标准绩效评价标准对本项目的立项、绩效目标、资金投入、资金管理、组织实施、产出数量、产出质量、产出时效、产出成本、项目效益进行了综合评价。</w:t>
      </w:r>
    </w:p>
    <w:p>
      <w:pPr>
        <w:pStyle w:val="4"/>
        <w:pageBreakBefore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eastAsia="仿宋_GB2312"/>
          <w:b w:val="0"/>
          <w:bCs w:val="0"/>
        </w:rPr>
      </w:pPr>
      <w:r>
        <w:rPr>
          <w:rFonts w:hint="eastAsia" w:ascii="仿宋_GB2312" w:eastAsia="仿宋_GB2312"/>
          <w:b w:val="0"/>
          <w:bCs w:val="0"/>
          <w:lang w:val="en-US" w:eastAsia="zh-CN"/>
        </w:rPr>
        <w:t>2.</w:t>
      </w:r>
      <w:r>
        <w:rPr>
          <w:rFonts w:hint="eastAsia" w:ascii="仿宋_GB2312" w:eastAsia="仿宋_GB2312"/>
          <w:b w:val="0"/>
          <w:bCs w:val="0"/>
        </w:rPr>
        <w:t>评价结论</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lang w:val="en-US" w:eastAsia="zh-CN"/>
        </w:rPr>
      </w:pPr>
      <w:r>
        <w:rPr>
          <w:rFonts w:hint="eastAsia" w:ascii="Times New Roman" w:hAnsi="Times New Roman" w:eastAsia="仿宋_GB2312"/>
          <w:b w:val="0"/>
          <w:bCs w:val="0"/>
        </w:rPr>
        <w:t>运用绩效评价组制定的评价指标体系以及财政部《项目支出绩效评价管理办法》（财预〔2020〕10号）文件的评分标准，通过数据采集、问卷调查及访谈等方式，对本项目进行客观评价，最终评分结果：总得分为</w:t>
      </w:r>
      <w:r>
        <w:rPr>
          <w:rFonts w:hint="eastAsia" w:ascii="Times New Roman" w:hAnsi="Times New Roman"/>
          <w:b w:val="0"/>
          <w:bCs w:val="0"/>
          <w:lang w:val="en-US" w:eastAsia="zh-CN"/>
        </w:rPr>
        <w:t>97.7</w:t>
      </w:r>
      <w:r>
        <w:rPr>
          <w:rFonts w:hint="eastAsia" w:ascii="Times New Roman" w:hAnsi="Times New Roman" w:eastAsia="仿宋_GB2312"/>
          <w:b w:val="0"/>
          <w:bCs w:val="0"/>
        </w:rPr>
        <w:t>分，属于“优”。其中，项目决策类指标权重为20分，得分为</w:t>
      </w:r>
      <w:r>
        <w:rPr>
          <w:rFonts w:hint="eastAsia" w:ascii="Times New Roman" w:hAnsi="Times New Roman" w:eastAsia="仿宋_GB2312"/>
          <w:b w:val="0"/>
          <w:bCs w:val="0"/>
          <w:lang w:val="en-US" w:eastAsia="zh-CN"/>
        </w:rPr>
        <w:t>20</w:t>
      </w:r>
      <w:r>
        <w:rPr>
          <w:rFonts w:hint="eastAsia" w:ascii="Times New Roman" w:hAnsi="Times New Roman" w:eastAsia="仿宋_GB2312"/>
          <w:b w:val="0"/>
          <w:bCs w:val="0"/>
        </w:rPr>
        <w:t>分，得分率为</w:t>
      </w:r>
      <w:r>
        <w:rPr>
          <w:rFonts w:hint="eastAsia" w:ascii="Times New Roman" w:hAnsi="Times New Roman" w:eastAsia="仿宋_GB2312"/>
          <w:b w:val="0"/>
          <w:bCs w:val="0"/>
          <w:lang w:val="en-US" w:eastAsia="zh-CN"/>
        </w:rPr>
        <w:t>100</w:t>
      </w:r>
      <w:r>
        <w:rPr>
          <w:rFonts w:hint="eastAsia" w:ascii="Times New Roman" w:hAnsi="Times New Roman" w:eastAsia="仿宋_GB2312"/>
          <w:b w:val="0"/>
          <w:bCs w:val="0"/>
        </w:rPr>
        <w:t>%。项目过程类指标权重为20分，得分为</w:t>
      </w:r>
      <w:r>
        <w:rPr>
          <w:rFonts w:hint="eastAsia" w:ascii="Times New Roman" w:hAnsi="Times New Roman"/>
          <w:b w:val="0"/>
          <w:bCs w:val="0"/>
          <w:lang w:val="en-US" w:eastAsia="zh-CN"/>
        </w:rPr>
        <w:t>18.7</w:t>
      </w:r>
      <w:r>
        <w:rPr>
          <w:rFonts w:hint="eastAsia" w:ascii="Times New Roman" w:hAnsi="Times New Roman" w:eastAsia="仿宋_GB2312"/>
          <w:b w:val="0"/>
          <w:bCs w:val="0"/>
        </w:rPr>
        <w:t>分，得分率为</w:t>
      </w:r>
      <w:r>
        <w:rPr>
          <w:rFonts w:hint="eastAsia" w:ascii="Times New Roman" w:hAnsi="Times New Roman"/>
          <w:b w:val="0"/>
          <w:bCs w:val="0"/>
          <w:lang w:val="en-US" w:eastAsia="zh-CN"/>
        </w:rPr>
        <w:t>93.5</w:t>
      </w:r>
      <w:r>
        <w:rPr>
          <w:rFonts w:hint="eastAsia" w:ascii="Times New Roman" w:hAnsi="Times New Roman" w:eastAsia="仿宋_GB2312"/>
          <w:b w:val="0"/>
          <w:bCs w:val="0"/>
        </w:rPr>
        <w:t>%。项目产出类指标权重为40分，得分为</w:t>
      </w:r>
      <w:r>
        <w:rPr>
          <w:rFonts w:hint="eastAsia" w:ascii="Times New Roman" w:hAnsi="Times New Roman"/>
          <w:b w:val="0"/>
          <w:bCs w:val="0"/>
          <w:lang w:val="en-US" w:eastAsia="zh-CN"/>
        </w:rPr>
        <w:t>39</w:t>
      </w:r>
      <w:r>
        <w:rPr>
          <w:rFonts w:hint="eastAsia" w:ascii="Times New Roman" w:hAnsi="Times New Roman" w:eastAsia="仿宋_GB2312"/>
          <w:b w:val="0"/>
          <w:bCs w:val="0"/>
        </w:rPr>
        <w:t>分，得分率为</w:t>
      </w:r>
      <w:r>
        <w:rPr>
          <w:rFonts w:hint="eastAsia" w:ascii="Times New Roman" w:hAnsi="Times New Roman"/>
          <w:b w:val="0"/>
          <w:bCs w:val="0"/>
          <w:lang w:val="en-US" w:eastAsia="zh-CN"/>
        </w:rPr>
        <w:t>97.5</w:t>
      </w:r>
      <w:r>
        <w:rPr>
          <w:rFonts w:hint="eastAsia" w:ascii="Times New Roman" w:hAnsi="Times New Roman" w:eastAsia="仿宋_GB2312"/>
          <w:b w:val="0"/>
          <w:bCs w:val="0"/>
        </w:rPr>
        <w:t>%。项目效益类指标权重为20分，得分为</w:t>
      </w:r>
      <w:r>
        <w:rPr>
          <w:rFonts w:hint="eastAsia" w:ascii="Times New Roman" w:hAnsi="Times New Roman" w:eastAsia="仿宋_GB2312"/>
          <w:b w:val="0"/>
          <w:bCs w:val="0"/>
          <w:lang w:val="en-US" w:eastAsia="zh-CN"/>
        </w:rPr>
        <w:t>20</w:t>
      </w:r>
      <w:r>
        <w:rPr>
          <w:rFonts w:hint="eastAsia" w:ascii="Times New Roman" w:hAnsi="Times New Roman" w:eastAsia="仿宋_GB2312"/>
          <w:b w:val="0"/>
          <w:bCs w:val="0"/>
        </w:rPr>
        <w:t>分，得分率为</w:t>
      </w:r>
      <w:r>
        <w:rPr>
          <w:rFonts w:hint="eastAsia" w:ascii="Times New Roman" w:hAnsi="Times New Roman" w:eastAsia="仿宋_GB2312"/>
          <w:b w:val="0"/>
          <w:bCs w:val="0"/>
          <w:lang w:val="en-US" w:eastAsia="zh-CN"/>
        </w:rPr>
        <w:t>100</w:t>
      </w:r>
      <w:r>
        <w:rPr>
          <w:rFonts w:hint="eastAsia" w:ascii="Times New Roman" w:hAnsi="Times New Roman" w:eastAsia="仿宋_GB2312"/>
          <w:b w:val="0"/>
          <w:bCs w:val="0"/>
        </w:rPr>
        <w:t>%。</w:t>
      </w:r>
    </w:p>
    <w:p>
      <w:pPr>
        <w:spacing w:line="360" w:lineRule="auto"/>
        <w:ind w:firstLine="600" w:firstLineChars="200"/>
        <w:jc w:val="center"/>
        <w:rPr>
          <w:color w:val="auto"/>
        </w:rPr>
      </w:pPr>
      <w:r>
        <w:rPr>
          <w:rFonts w:hint="eastAsia"/>
          <w:color w:val="auto"/>
          <w:lang w:eastAsia="zh-CN"/>
        </w:rPr>
        <w:t>县级领导差费</w:t>
      </w:r>
      <w:r>
        <w:rPr>
          <w:rFonts w:hint="eastAsia"/>
          <w:color w:val="auto"/>
        </w:rPr>
        <w:t>项目评价得分情况</w:t>
      </w:r>
    </w:p>
    <w:tbl>
      <w:tblPr>
        <w:tblStyle w:val="10"/>
        <w:tblW w:w="7583" w:type="dxa"/>
        <w:jc w:val="center"/>
        <w:tblLayout w:type="fixed"/>
        <w:tblCellMar>
          <w:top w:w="0" w:type="dxa"/>
          <w:left w:w="108" w:type="dxa"/>
          <w:bottom w:w="0" w:type="dxa"/>
          <w:right w:w="108" w:type="dxa"/>
        </w:tblCellMar>
      </w:tblPr>
      <w:tblGrid>
        <w:gridCol w:w="3137"/>
        <w:gridCol w:w="2168"/>
        <w:gridCol w:w="2278"/>
      </w:tblGrid>
      <w:tr>
        <w:tblPrEx>
          <w:tblCellMar>
            <w:top w:w="0" w:type="dxa"/>
            <w:left w:w="108" w:type="dxa"/>
            <w:bottom w:w="0" w:type="dxa"/>
            <w:right w:w="108" w:type="dxa"/>
          </w:tblCellMar>
        </w:tblPrEx>
        <w:trPr>
          <w:trHeight w:val="90" w:hRule="atLeast"/>
          <w:tblHeader/>
          <w:jc w:val="center"/>
        </w:trPr>
        <w:tc>
          <w:tcPr>
            <w:tcW w:w="3137" w:type="dxa"/>
            <w:tcBorders>
              <w:top w:val="single" w:color="auto" w:sz="4" w:space="0"/>
              <w:left w:val="single" w:color="auto" w:sz="4" w:space="0"/>
              <w:bottom w:val="single" w:color="auto" w:sz="4" w:space="0"/>
              <w:right w:val="single" w:color="auto" w:sz="4" w:space="0"/>
            </w:tcBorders>
            <w:shd w:val="clear" w:color="000000" w:fill="BEBEBE" w:themeFill="background1" w:themeFillShade="BF"/>
            <w:vAlign w:val="center"/>
          </w:tcPr>
          <w:p>
            <w:pPr>
              <w:jc w:val="center"/>
              <w:rPr>
                <w:b/>
                <w:bCs/>
                <w:color w:val="auto"/>
                <w:sz w:val="22"/>
              </w:rPr>
            </w:pPr>
            <w:r>
              <w:rPr>
                <w:rFonts w:hint="eastAsia"/>
                <w:b/>
                <w:bCs/>
                <w:color w:val="auto"/>
                <w:sz w:val="22"/>
              </w:rPr>
              <w:t>一级指标</w:t>
            </w:r>
          </w:p>
        </w:tc>
        <w:tc>
          <w:tcPr>
            <w:tcW w:w="2168" w:type="dxa"/>
            <w:tcBorders>
              <w:top w:val="single" w:color="auto" w:sz="4" w:space="0"/>
              <w:left w:val="nil"/>
              <w:bottom w:val="single" w:color="auto" w:sz="4" w:space="0"/>
              <w:right w:val="single" w:color="auto" w:sz="4" w:space="0"/>
            </w:tcBorders>
            <w:shd w:val="clear" w:color="000000" w:fill="BEBEBE" w:themeFill="background1" w:themeFillShade="BF"/>
            <w:vAlign w:val="center"/>
          </w:tcPr>
          <w:p>
            <w:pPr>
              <w:jc w:val="center"/>
              <w:rPr>
                <w:b/>
                <w:bCs/>
                <w:color w:val="auto"/>
                <w:sz w:val="22"/>
              </w:rPr>
            </w:pPr>
            <w:r>
              <w:rPr>
                <w:rFonts w:hint="eastAsia"/>
                <w:b/>
                <w:bCs/>
                <w:color w:val="auto"/>
                <w:sz w:val="22"/>
              </w:rPr>
              <w:t>权重分</w:t>
            </w:r>
          </w:p>
        </w:tc>
        <w:tc>
          <w:tcPr>
            <w:tcW w:w="2278" w:type="dxa"/>
            <w:tcBorders>
              <w:top w:val="single" w:color="auto" w:sz="4" w:space="0"/>
              <w:left w:val="nil"/>
              <w:bottom w:val="single" w:color="auto" w:sz="4" w:space="0"/>
              <w:right w:val="single" w:color="auto" w:sz="4" w:space="0"/>
            </w:tcBorders>
            <w:shd w:val="clear" w:color="000000" w:fill="BEBEBE" w:themeFill="background1" w:themeFillShade="BF"/>
            <w:vAlign w:val="center"/>
          </w:tcPr>
          <w:p>
            <w:pPr>
              <w:jc w:val="center"/>
              <w:rPr>
                <w:b/>
                <w:bCs/>
                <w:color w:val="auto"/>
                <w:sz w:val="22"/>
              </w:rPr>
            </w:pPr>
            <w:r>
              <w:rPr>
                <w:rFonts w:hint="eastAsia"/>
                <w:b/>
                <w:bCs/>
                <w:color w:val="auto"/>
                <w:sz w:val="22"/>
              </w:rPr>
              <w:t>得分</w:t>
            </w:r>
          </w:p>
        </w:tc>
      </w:tr>
      <w:tr>
        <w:tblPrEx>
          <w:tblCellMar>
            <w:top w:w="0" w:type="dxa"/>
            <w:left w:w="108" w:type="dxa"/>
            <w:bottom w:w="0" w:type="dxa"/>
            <w:right w:w="108" w:type="dxa"/>
          </w:tblCellMar>
        </w:tblPrEx>
        <w:trPr>
          <w:trHeight w:val="340" w:hRule="atLeast"/>
          <w:jc w:val="center"/>
        </w:trPr>
        <w:tc>
          <w:tcPr>
            <w:tcW w:w="3137" w:type="dxa"/>
            <w:tcBorders>
              <w:top w:val="nil"/>
              <w:left w:val="single" w:color="auto" w:sz="4" w:space="0"/>
              <w:bottom w:val="single" w:color="auto" w:sz="4" w:space="0"/>
              <w:right w:val="single" w:color="auto" w:sz="4" w:space="0"/>
            </w:tcBorders>
            <w:shd w:val="clear" w:color="auto" w:fill="auto"/>
            <w:vAlign w:val="center"/>
          </w:tcPr>
          <w:p>
            <w:pPr>
              <w:jc w:val="center"/>
              <w:rPr>
                <w:color w:val="auto"/>
                <w:sz w:val="22"/>
              </w:rPr>
            </w:pPr>
            <w:r>
              <w:rPr>
                <w:rFonts w:hint="eastAsia"/>
                <w:color w:val="auto"/>
                <w:sz w:val="22"/>
              </w:rPr>
              <w:t>项目决策</w:t>
            </w:r>
          </w:p>
        </w:tc>
        <w:tc>
          <w:tcPr>
            <w:tcW w:w="2168" w:type="dxa"/>
            <w:tcBorders>
              <w:top w:val="nil"/>
              <w:left w:val="nil"/>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40" w:lineRule="exact"/>
              <w:ind w:firstLine="440" w:firstLineChars="200"/>
              <w:jc w:val="both"/>
              <w:textAlignment w:val="auto"/>
              <w:rPr>
                <w:rFonts w:hint="default"/>
                <w:color w:val="auto"/>
                <w:sz w:val="22"/>
                <w:lang w:val="en-US"/>
              </w:rPr>
            </w:pPr>
            <w:r>
              <w:rPr>
                <w:rFonts w:hint="eastAsia" w:cs="Times New Roman"/>
                <w:color w:val="000000"/>
                <w:sz w:val="22"/>
                <w:lang w:val="en-US" w:eastAsia="zh-CN"/>
              </w:rPr>
              <w:t>20</w:t>
            </w:r>
          </w:p>
        </w:tc>
        <w:tc>
          <w:tcPr>
            <w:tcW w:w="2278" w:type="dxa"/>
            <w:tcBorders>
              <w:top w:val="nil"/>
              <w:left w:val="nil"/>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40" w:lineRule="exact"/>
              <w:ind w:firstLine="440" w:firstLineChars="200"/>
              <w:jc w:val="both"/>
              <w:textAlignment w:val="auto"/>
              <w:rPr>
                <w:rFonts w:hint="default"/>
                <w:color w:val="auto"/>
                <w:sz w:val="22"/>
                <w:lang w:val="en-US"/>
              </w:rPr>
            </w:pPr>
            <w:r>
              <w:rPr>
                <w:rFonts w:hint="eastAsia" w:cs="Times New Roman"/>
                <w:color w:val="000000"/>
                <w:sz w:val="22"/>
                <w:lang w:val="en-US" w:eastAsia="zh-CN"/>
              </w:rPr>
              <w:t>20</w:t>
            </w:r>
          </w:p>
        </w:tc>
      </w:tr>
      <w:tr>
        <w:tblPrEx>
          <w:tblCellMar>
            <w:top w:w="0" w:type="dxa"/>
            <w:left w:w="108" w:type="dxa"/>
            <w:bottom w:w="0" w:type="dxa"/>
            <w:right w:w="108" w:type="dxa"/>
          </w:tblCellMar>
        </w:tblPrEx>
        <w:trPr>
          <w:trHeight w:val="340" w:hRule="atLeast"/>
          <w:jc w:val="center"/>
        </w:trPr>
        <w:tc>
          <w:tcPr>
            <w:tcW w:w="3137" w:type="dxa"/>
            <w:tcBorders>
              <w:top w:val="nil"/>
              <w:left w:val="single" w:color="auto" w:sz="4" w:space="0"/>
              <w:bottom w:val="single" w:color="auto" w:sz="4" w:space="0"/>
              <w:right w:val="single" w:color="auto" w:sz="4" w:space="0"/>
            </w:tcBorders>
            <w:shd w:val="clear" w:color="auto" w:fill="auto"/>
            <w:vAlign w:val="center"/>
          </w:tcPr>
          <w:p>
            <w:pPr>
              <w:jc w:val="center"/>
              <w:rPr>
                <w:color w:val="auto"/>
                <w:sz w:val="22"/>
              </w:rPr>
            </w:pPr>
            <w:r>
              <w:rPr>
                <w:rFonts w:hint="eastAsia"/>
                <w:color w:val="auto"/>
                <w:sz w:val="22"/>
              </w:rPr>
              <w:t>项目过程</w:t>
            </w:r>
          </w:p>
        </w:tc>
        <w:tc>
          <w:tcPr>
            <w:tcW w:w="2168" w:type="dxa"/>
            <w:tcBorders>
              <w:top w:val="nil"/>
              <w:left w:val="nil"/>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40" w:lineRule="exact"/>
              <w:ind w:firstLine="440" w:firstLineChars="200"/>
              <w:jc w:val="both"/>
              <w:textAlignment w:val="auto"/>
              <w:rPr>
                <w:rFonts w:hint="default"/>
                <w:color w:val="auto"/>
                <w:sz w:val="22"/>
                <w:lang w:val="en-US"/>
              </w:rPr>
            </w:pPr>
            <w:r>
              <w:rPr>
                <w:rFonts w:hint="eastAsia" w:cs="Times New Roman"/>
                <w:color w:val="000000"/>
                <w:sz w:val="22"/>
                <w:lang w:val="en-US" w:eastAsia="zh-CN"/>
              </w:rPr>
              <w:t>20</w:t>
            </w:r>
          </w:p>
        </w:tc>
        <w:tc>
          <w:tcPr>
            <w:tcW w:w="2278" w:type="dxa"/>
            <w:tcBorders>
              <w:top w:val="nil"/>
              <w:left w:val="nil"/>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40" w:lineRule="exact"/>
              <w:ind w:firstLine="440" w:firstLineChars="200"/>
              <w:jc w:val="both"/>
              <w:textAlignment w:val="auto"/>
              <w:rPr>
                <w:rFonts w:hint="default" w:eastAsia="仿宋_GB2312"/>
                <w:color w:val="auto"/>
                <w:sz w:val="22"/>
                <w:lang w:val="en-US" w:eastAsia="zh-CN"/>
              </w:rPr>
            </w:pPr>
            <w:r>
              <w:rPr>
                <w:rFonts w:hint="eastAsia"/>
                <w:color w:val="auto"/>
                <w:sz w:val="22"/>
                <w:lang w:val="en-US" w:eastAsia="zh-CN"/>
              </w:rPr>
              <w:t>18.7</w:t>
            </w:r>
          </w:p>
        </w:tc>
      </w:tr>
      <w:tr>
        <w:tblPrEx>
          <w:tblCellMar>
            <w:top w:w="0" w:type="dxa"/>
            <w:left w:w="108" w:type="dxa"/>
            <w:bottom w:w="0" w:type="dxa"/>
            <w:right w:w="108" w:type="dxa"/>
          </w:tblCellMar>
        </w:tblPrEx>
        <w:trPr>
          <w:trHeight w:val="340" w:hRule="atLeast"/>
          <w:jc w:val="center"/>
        </w:trPr>
        <w:tc>
          <w:tcPr>
            <w:tcW w:w="3137" w:type="dxa"/>
            <w:tcBorders>
              <w:top w:val="nil"/>
              <w:left w:val="single" w:color="auto" w:sz="4" w:space="0"/>
              <w:bottom w:val="single" w:color="auto" w:sz="4" w:space="0"/>
              <w:right w:val="single" w:color="auto" w:sz="4" w:space="0"/>
            </w:tcBorders>
            <w:shd w:val="clear" w:color="auto" w:fill="auto"/>
            <w:vAlign w:val="center"/>
          </w:tcPr>
          <w:p>
            <w:pPr>
              <w:jc w:val="center"/>
              <w:rPr>
                <w:color w:val="auto"/>
                <w:sz w:val="22"/>
              </w:rPr>
            </w:pPr>
            <w:r>
              <w:rPr>
                <w:rFonts w:hint="eastAsia"/>
                <w:color w:val="auto"/>
                <w:sz w:val="22"/>
              </w:rPr>
              <w:t>项目产出</w:t>
            </w:r>
          </w:p>
        </w:tc>
        <w:tc>
          <w:tcPr>
            <w:tcW w:w="2168" w:type="dxa"/>
            <w:tcBorders>
              <w:top w:val="nil"/>
              <w:left w:val="nil"/>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40" w:lineRule="exact"/>
              <w:ind w:firstLine="440" w:firstLineChars="200"/>
              <w:jc w:val="both"/>
              <w:textAlignment w:val="auto"/>
              <w:rPr>
                <w:rFonts w:hint="default"/>
                <w:color w:val="auto"/>
                <w:sz w:val="22"/>
                <w:lang w:val="en-US"/>
              </w:rPr>
            </w:pPr>
            <w:r>
              <w:rPr>
                <w:rFonts w:hint="eastAsia" w:cs="Times New Roman"/>
                <w:color w:val="000000"/>
                <w:sz w:val="22"/>
                <w:lang w:val="en-US" w:eastAsia="zh-CN"/>
              </w:rPr>
              <w:t>40</w:t>
            </w:r>
          </w:p>
        </w:tc>
        <w:tc>
          <w:tcPr>
            <w:tcW w:w="2278" w:type="dxa"/>
            <w:tcBorders>
              <w:top w:val="nil"/>
              <w:left w:val="nil"/>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40" w:lineRule="exact"/>
              <w:ind w:firstLine="440" w:firstLineChars="200"/>
              <w:jc w:val="both"/>
              <w:textAlignment w:val="auto"/>
              <w:rPr>
                <w:rFonts w:hint="default" w:eastAsia="仿宋_GB2312"/>
                <w:color w:val="auto"/>
                <w:sz w:val="22"/>
                <w:lang w:val="en-US" w:eastAsia="zh-CN"/>
              </w:rPr>
            </w:pPr>
            <w:r>
              <w:rPr>
                <w:rFonts w:hint="eastAsia"/>
                <w:color w:val="auto"/>
                <w:sz w:val="22"/>
                <w:lang w:val="en-US" w:eastAsia="zh-CN"/>
              </w:rPr>
              <w:t>39</w:t>
            </w:r>
          </w:p>
        </w:tc>
      </w:tr>
      <w:tr>
        <w:tblPrEx>
          <w:tblCellMar>
            <w:top w:w="0" w:type="dxa"/>
            <w:left w:w="108" w:type="dxa"/>
            <w:bottom w:w="0" w:type="dxa"/>
            <w:right w:w="108" w:type="dxa"/>
          </w:tblCellMar>
        </w:tblPrEx>
        <w:trPr>
          <w:trHeight w:val="340" w:hRule="atLeast"/>
          <w:jc w:val="center"/>
        </w:trPr>
        <w:tc>
          <w:tcPr>
            <w:tcW w:w="3137" w:type="dxa"/>
            <w:tcBorders>
              <w:top w:val="nil"/>
              <w:left w:val="single" w:color="auto" w:sz="4" w:space="0"/>
              <w:bottom w:val="single" w:color="auto" w:sz="4" w:space="0"/>
              <w:right w:val="single" w:color="auto" w:sz="4" w:space="0"/>
            </w:tcBorders>
            <w:shd w:val="clear" w:color="auto" w:fill="auto"/>
            <w:vAlign w:val="center"/>
          </w:tcPr>
          <w:p>
            <w:pPr>
              <w:jc w:val="center"/>
              <w:rPr>
                <w:color w:val="auto"/>
                <w:sz w:val="22"/>
              </w:rPr>
            </w:pPr>
            <w:r>
              <w:rPr>
                <w:rFonts w:hint="eastAsia"/>
                <w:color w:val="auto"/>
                <w:sz w:val="22"/>
              </w:rPr>
              <w:t>项目效益</w:t>
            </w:r>
          </w:p>
        </w:tc>
        <w:tc>
          <w:tcPr>
            <w:tcW w:w="2168" w:type="dxa"/>
            <w:tcBorders>
              <w:top w:val="nil"/>
              <w:left w:val="nil"/>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40" w:lineRule="exact"/>
              <w:ind w:firstLine="440" w:firstLineChars="200"/>
              <w:jc w:val="both"/>
              <w:textAlignment w:val="auto"/>
              <w:rPr>
                <w:rFonts w:hint="default"/>
                <w:color w:val="auto"/>
                <w:sz w:val="22"/>
                <w:lang w:val="en-US"/>
              </w:rPr>
            </w:pPr>
            <w:r>
              <w:rPr>
                <w:rFonts w:hint="eastAsia" w:cs="Times New Roman"/>
                <w:color w:val="000000"/>
                <w:sz w:val="22"/>
                <w:lang w:val="en-US" w:eastAsia="zh-CN"/>
              </w:rPr>
              <w:t>20</w:t>
            </w:r>
          </w:p>
        </w:tc>
        <w:tc>
          <w:tcPr>
            <w:tcW w:w="2278" w:type="dxa"/>
            <w:tcBorders>
              <w:top w:val="nil"/>
              <w:left w:val="nil"/>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40" w:lineRule="exact"/>
              <w:ind w:firstLine="440" w:firstLineChars="200"/>
              <w:jc w:val="both"/>
              <w:textAlignment w:val="auto"/>
              <w:rPr>
                <w:rFonts w:hint="default"/>
                <w:color w:val="auto"/>
                <w:sz w:val="22"/>
                <w:lang w:val="en-US"/>
              </w:rPr>
            </w:pPr>
            <w:r>
              <w:rPr>
                <w:rFonts w:hint="eastAsia" w:cs="Times New Roman"/>
                <w:color w:val="000000"/>
                <w:sz w:val="22"/>
                <w:lang w:val="en-US" w:eastAsia="zh-CN"/>
              </w:rPr>
              <w:t>20</w:t>
            </w:r>
          </w:p>
        </w:tc>
      </w:tr>
      <w:tr>
        <w:tblPrEx>
          <w:tblCellMar>
            <w:top w:w="0" w:type="dxa"/>
            <w:left w:w="108" w:type="dxa"/>
            <w:bottom w:w="0" w:type="dxa"/>
            <w:right w:w="108" w:type="dxa"/>
          </w:tblCellMar>
        </w:tblPrEx>
        <w:trPr>
          <w:trHeight w:val="340" w:hRule="atLeast"/>
          <w:jc w:val="center"/>
        </w:trPr>
        <w:tc>
          <w:tcPr>
            <w:tcW w:w="3137" w:type="dxa"/>
            <w:tcBorders>
              <w:top w:val="nil"/>
              <w:left w:val="single" w:color="auto" w:sz="4" w:space="0"/>
              <w:bottom w:val="single" w:color="auto" w:sz="4" w:space="0"/>
              <w:right w:val="single" w:color="auto" w:sz="4" w:space="0"/>
            </w:tcBorders>
            <w:shd w:val="clear" w:color="auto" w:fill="auto"/>
            <w:vAlign w:val="center"/>
          </w:tcPr>
          <w:p>
            <w:pPr>
              <w:jc w:val="center"/>
              <w:rPr>
                <w:rFonts w:cs="宋体"/>
                <w:b/>
                <w:bCs/>
                <w:color w:val="auto"/>
                <w:sz w:val="22"/>
              </w:rPr>
            </w:pPr>
            <w:r>
              <w:rPr>
                <w:rFonts w:hint="eastAsia" w:cs="宋体"/>
                <w:b/>
                <w:bCs/>
                <w:color w:val="auto"/>
                <w:sz w:val="22"/>
              </w:rPr>
              <w:t>合计</w:t>
            </w:r>
          </w:p>
        </w:tc>
        <w:tc>
          <w:tcPr>
            <w:tcW w:w="2168" w:type="dxa"/>
            <w:tcBorders>
              <w:top w:val="nil"/>
              <w:left w:val="nil"/>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40" w:lineRule="exact"/>
              <w:ind w:firstLine="442" w:firstLineChars="200"/>
              <w:jc w:val="both"/>
              <w:textAlignment w:val="auto"/>
              <w:rPr>
                <w:b/>
                <w:bCs/>
                <w:color w:val="auto"/>
                <w:sz w:val="22"/>
              </w:rPr>
            </w:pPr>
            <w:r>
              <w:rPr>
                <w:rFonts w:hint="default" w:ascii="Times New Roman" w:hAnsi="Times New Roman" w:cs="Times New Roman"/>
                <w:b/>
                <w:bCs/>
                <w:color w:val="000000"/>
                <w:sz w:val="22"/>
                <w:lang w:val="en-US" w:eastAsia="zh-CN"/>
              </w:rPr>
              <w:t>100</w:t>
            </w:r>
          </w:p>
        </w:tc>
        <w:tc>
          <w:tcPr>
            <w:tcW w:w="2278" w:type="dxa"/>
            <w:tcBorders>
              <w:top w:val="nil"/>
              <w:left w:val="nil"/>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40" w:lineRule="exact"/>
              <w:ind w:firstLine="442" w:firstLineChars="200"/>
              <w:jc w:val="both"/>
              <w:textAlignment w:val="auto"/>
              <w:rPr>
                <w:rFonts w:hint="default" w:eastAsia="仿宋_GB2312"/>
                <w:b/>
                <w:bCs/>
                <w:color w:val="auto"/>
                <w:sz w:val="22"/>
                <w:lang w:val="en-US" w:eastAsia="zh-CN"/>
              </w:rPr>
            </w:pPr>
            <w:r>
              <w:rPr>
                <w:rFonts w:hint="eastAsia"/>
                <w:b/>
                <w:bCs/>
                <w:color w:val="auto"/>
                <w:sz w:val="22"/>
                <w:lang w:val="en-US" w:eastAsia="zh-CN"/>
              </w:rPr>
              <w:t>97.7</w:t>
            </w:r>
          </w:p>
        </w:tc>
      </w:tr>
    </w:tbl>
    <w:p>
      <w:pPr>
        <w:pStyle w:val="4"/>
        <w:spacing w:line="360" w:lineRule="auto"/>
        <w:rPr>
          <w:rFonts w:ascii="仿宋_GB2312" w:eastAsia="仿宋_GB2312"/>
          <w:b w:val="0"/>
          <w:bCs w:val="0"/>
          <w:color w:val="auto"/>
        </w:rPr>
      </w:pPr>
      <w:bookmarkStart w:id="9" w:name="_Toc68703836"/>
      <w:r>
        <w:rPr>
          <w:rFonts w:hint="eastAsia" w:ascii="仿宋_GB2312" w:eastAsia="仿宋_GB2312"/>
          <w:b w:val="0"/>
          <w:bCs w:val="0"/>
          <w:color w:val="auto"/>
        </w:rPr>
        <w:t>（二）评价结论</w:t>
      </w:r>
      <w:bookmarkEnd w:id="9"/>
    </w:p>
    <w:p>
      <w:pPr>
        <w:spacing w:line="360" w:lineRule="auto"/>
        <w:ind w:firstLine="600" w:firstLineChars="200"/>
        <w:rPr>
          <w:color w:val="auto"/>
        </w:rPr>
      </w:pPr>
      <w:r>
        <w:rPr>
          <w:rFonts w:hint="eastAsia"/>
          <w:color w:val="auto"/>
        </w:rPr>
        <w:t>本项目的项目决策、项目过程、项目产出、项目效益均达到了预期要求，最终得分为</w:t>
      </w:r>
      <w:r>
        <w:rPr>
          <w:rFonts w:hint="eastAsia"/>
          <w:color w:val="auto"/>
          <w:lang w:val="en-US" w:eastAsia="zh-CN"/>
        </w:rPr>
        <w:t>97.7</w:t>
      </w:r>
      <w:r>
        <w:rPr>
          <w:rFonts w:hint="eastAsia"/>
          <w:color w:val="auto"/>
        </w:rPr>
        <w:t>分，项目达成年度指标。</w:t>
      </w:r>
    </w:p>
    <w:p>
      <w:pPr>
        <w:spacing w:line="360" w:lineRule="auto"/>
        <w:ind w:firstLine="600" w:firstLineChars="200"/>
        <w:rPr>
          <w:color w:val="auto"/>
        </w:rPr>
      </w:pPr>
    </w:p>
    <w:p>
      <w:pPr>
        <w:pStyle w:val="3"/>
        <w:spacing w:line="360" w:lineRule="auto"/>
        <w:rPr>
          <w:rFonts w:ascii="宋体" w:hAnsi="宋体" w:eastAsia="宋体"/>
          <w:color w:val="auto"/>
          <w:sz w:val="32"/>
          <w:szCs w:val="32"/>
        </w:rPr>
      </w:pPr>
      <w:bookmarkStart w:id="10" w:name="_Toc68703837"/>
      <w:r>
        <w:rPr>
          <w:rFonts w:hint="eastAsia" w:ascii="宋体" w:hAnsi="宋体" w:eastAsia="宋体"/>
          <w:color w:val="auto"/>
          <w:sz w:val="32"/>
          <w:szCs w:val="32"/>
        </w:rPr>
        <w:t>四、绩效评价指标分析</w:t>
      </w:r>
      <w:bookmarkEnd w:id="10"/>
    </w:p>
    <w:p>
      <w:pPr>
        <w:pStyle w:val="4"/>
        <w:spacing w:line="360" w:lineRule="auto"/>
        <w:rPr>
          <w:rFonts w:ascii="仿宋_GB2312" w:eastAsia="仿宋_GB2312"/>
          <w:b w:val="0"/>
          <w:bCs w:val="0"/>
          <w:color w:val="auto"/>
        </w:rPr>
      </w:pPr>
      <w:bookmarkStart w:id="11" w:name="_Toc68703838"/>
      <w:r>
        <w:rPr>
          <w:rFonts w:hint="eastAsia" w:ascii="仿宋_GB2312" w:eastAsia="仿宋_GB2312"/>
          <w:b w:val="0"/>
          <w:bCs w:val="0"/>
          <w:color w:val="auto"/>
        </w:rPr>
        <w:t>（一）项目决策情况。</w:t>
      </w:r>
      <w:bookmarkEnd w:id="11"/>
    </w:p>
    <w:p>
      <w:pPr>
        <w:spacing w:line="360" w:lineRule="auto"/>
        <w:rPr>
          <w:color w:val="auto"/>
        </w:rPr>
      </w:pPr>
      <w:r>
        <w:rPr>
          <w:rFonts w:hint="eastAsia"/>
          <w:color w:val="auto"/>
        </w:rPr>
        <w:t>1、立项依据充分性</w:t>
      </w:r>
    </w:p>
    <w:p>
      <w:pPr>
        <w:pageBreakBefore w:val="0"/>
        <w:kinsoku/>
        <w:wordWrap/>
        <w:overflowPunct/>
        <w:topLinePunct w:val="0"/>
        <w:autoSpaceDE/>
        <w:autoSpaceDN/>
        <w:bidi w:val="0"/>
        <w:adjustRightInd/>
        <w:snapToGrid/>
        <w:spacing w:line="540" w:lineRule="exact"/>
        <w:ind w:firstLine="640" w:firstLineChars="200"/>
        <w:jc w:val="both"/>
        <w:outlineLvl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项目立项依据《转发自治州党政机关事业单位工作人员差旅费管理实施细则的通知文件》</w:t>
      </w:r>
      <w:r>
        <w:rPr>
          <w:rFonts w:hint="eastAsia" w:eastAsia="方正仿宋_GBK" w:cs="Times New Roman"/>
          <w:sz w:val="32"/>
          <w:szCs w:val="32"/>
          <w:lang w:val="en-US" w:eastAsia="zh-CN"/>
        </w:rPr>
        <w:t>。</w:t>
      </w:r>
    </w:p>
    <w:p>
      <w:pPr>
        <w:spacing w:line="360" w:lineRule="auto"/>
        <w:ind w:firstLine="600" w:firstLineChars="200"/>
        <w:rPr>
          <w:rFonts w:hint="eastAsia"/>
          <w:color w:val="auto"/>
        </w:rPr>
      </w:pPr>
      <w:r>
        <w:rPr>
          <w:rFonts w:hint="eastAsia"/>
          <w:lang w:val="en-US" w:eastAsia="zh-CN"/>
        </w:rPr>
        <w:t>此项权重分3分，得分3分。</w:t>
      </w:r>
    </w:p>
    <w:p>
      <w:pPr>
        <w:spacing w:line="360" w:lineRule="auto"/>
        <w:rPr>
          <w:color w:val="auto"/>
        </w:rPr>
      </w:pPr>
      <w:r>
        <w:rPr>
          <w:rFonts w:hint="eastAsia"/>
          <w:color w:val="auto"/>
        </w:rPr>
        <w:t>2、立项程序规范性</w:t>
      </w:r>
    </w:p>
    <w:p>
      <w:pPr>
        <w:pageBreakBefore w:val="0"/>
        <w:kinsoku/>
        <w:wordWrap/>
        <w:overflowPunct/>
        <w:topLinePunct w:val="0"/>
        <w:autoSpaceDE/>
        <w:autoSpaceDN/>
        <w:bidi w:val="0"/>
        <w:adjustRightInd/>
        <w:snapToGrid/>
        <w:spacing w:line="540" w:lineRule="exact"/>
        <w:ind w:firstLine="640" w:firstLineChars="200"/>
        <w:jc w:val="both"/>
        <w:outlineLvl w:val="0"/>
        <w:rPr>
          <w:color w:val="auto"/>
        </w:rPr>
      </w:pPr>
      <w:r>
        <w:rPr>
          <w:rFonts w:hint="default" w:ascii="Times New Roman" w:hAnsi="Times New Roman" w:eastAsia="方正仿宋_GBK" w:cs="Times New Roman"/>
          <w:sz w:val="32"/>
          <w:szCs w:val="32"/>
          <w:lang w:val="en-US" w:eastAsia="zh-CN"/>
        </w:rPr>
        <w:t>项目申请、设立过程符合相关要求，</w:t>
      </w:r>
      <w:r>
        <w:rPr>
          <w:rFonts w:hint="default" w:ascii="Times New Roman" w:hAnsi="Times New Roman" w:eastAsia="方正仿宋_GBK" w:cs="Times New Roman"/>
          <w:sz w:val="32"/>
          <w:szCs w:val="32"/>
          <w:lang w:val="en-US" w:eastAsia="zh-Hans"/>
        </w:rPr>
        <w:t>严格按照审批流程准备符合要求的文件、材料；</w:t>
      </w:r>
      <w:r>
        <w:rPr>
          <w:rFonts w:hint="default" w:ascii="Times New Roman" w:hAnsi="Times New Roman" w:eastAsia="方正仿宋_GBK" w:cs="Times New Roman"/>
          <w:sz w:val="32"/>
          <w:szCs w:val="32"/>
          <w:lang w:val="en-US" w:eastAsia="zh-CN"/>
        </w:rPr>
        <w:t>根据决算依据编制工作计划和经费预算，经过与部门项目分管领导沟通、筛选确定经费预算计划，确定最终预算方案。项目的审批文件、材料符合相关要求，项目事前经过必要的可行性研究、风险评估、绩效评估、集体决策，保障了程序的规范性。</w:t>
      </w:r>
    </w:p>
    <w:p>
      <w:pPr>
        <w:spacing w:line="360" w:lineRule="auto"/>
        <w:ind w:firstLine="600" w:firstLineChars="200"/>
        <w:rPr>
          <w:rFonts w:hint="default"/>
          <w:color w:val="auto"/>
          <w:lang w:val="en-US"/>
        </w:rPr>
      </w:pPr>
      <w:r>
        <w:rPr>
          <w:rFonts w:hint="eastAsia"/>
          <w:lang w:val="en-US" w:eastAsia="zh-CN"/>
        </w:rPr>
        <w:t>此项权重分3分，得分3分。</w:t>
      </w:r>
    </w:p>
    <w:p>
      <w:pPr>
        <w:spacing w:line="360" w:lineRule="auto"/>
        <w:rPr>
          <w:color w:val="auto"/>
        </w:rPr>
      </w:pPr>
      <w:r>
        <w:rPr>
          <w:rFonts w:hint="eastAsia"/>
          <w:color w:val="auto"/>
        </w:rPr>
        <w:t>3、绩效目标合理性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color w:val="auto"/>
        </w:rPr>
      </w:pPr>
      <w:r>
        <w:rPr>
          <w:rFonts w:hint="default" w:ascii="Times New Roman" w:hAnsi="Times New Roman" w:eastAsia="方正仿宋_GBK" w:cs="Times New Roman"/>
          <w:b w:val="0"/>
          <w:bCs w:val="0"/>
          <w:kern w:val="2"/>
          <w:sz w:val="32"/>
          <w:szCs w:val="32"/>
          <w:lang w:val="en-US" w:eastAsia="zh-CN" w:bidi="ar-SA"/>
        </w:rPr>
        <w:t>县级领导差旅费项目设立了项目绩效目标，与招商引资具有相关性，项目的预期产出效益和效果也均能符合正常的业绩水平，并且与预算确定的项目投资额或资金量相匹配。</w:t>
      </w:r>
    </w:p>
    <w:p>
      <w:pPr>
        <w:spacing w:line="360" w:lineRule="auto"/>
        <w:ind w:firstLine="600" w:firstLineChars="200"/>
        <w:rPr>
          <w:rFonts w:hint="default"/>
          <w:color w:val="auto"/>
          <w:lang w:val="en-US"/>
        </w:rPr>
      </w:pPr>
      <w:r>
        <w:rPr>
          <w:rFonts w:hint="eastAsia"/>
          <w:lang w:val="en-US" w:eastAsia="zh-CN"/>
        </w:rPr>
        <w:t>此项权重分3分，得分3分。</w:t>
      </w:r>
    </w:p>
    <w:p>
      <w:pPr>
        <w:spacing w:line="360" w:lineRule="auto"/>
        <w:rPr>
          <w:color w:val="auto"/>
        </w:rPr>
      </w:pPr>
      <w:r>
        <w:rPr>
          <w:rFonts w:hint="eastAsia"/>
          <w:color w:val="auto"/>
        </w:rPr>
        <w:t>4、绩效指标明确性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县级领导差旅费项目将项目绩效目标细化分解为具体的绩效指标，一级指标共4条，二级指标共</w:t>
      </w:r>
      <w:r>
        <w:rPr>
          <w:rFonts w:hint="eastAsia" w:eastAsia="方正仿宋_GBK" w:cs="Times New Roman"/>
          <w:b w:val="0"/>
          <w:bCs w:val="0"/>
          <w:kern w:val="2"/>
          <w:sz w:val="32"/>
          <w:szCs w:val="32"/>
          <w:lang w:val="en-US" w:eastAsia="zh-CN" w:bidi="ar-SA"/>
        </w:rPr>
        <w:t>6</w:t>
      </w:r>
      <w:r>
        <w:rPr>
          <w:rFonts w:hint="default" w:ascii="Times New Roman" w:hAnsi="Times New Roman" w:eastAsia="方正仿宋_GBK" w:cs="Times New Roman"/>
          <w:b w:val="0"/>
          <w:bCs w:val="0"/>
          <w:kern w:val="2"/>
          <w:sz w:val="32"/>
          <w:szCs w:val="32"/>
          <w:lang w:val="en-US" w:eastAsia="zh-CN" w:bidi="ar-SA"/>
        </w:rPr>
        <w:t>条，三级指标共</w:t>
      </w:r>
      <w:r>
        <w:rPr>
          <w:rFonts w:hint="eastAsia" w:eastAsia="方正仿宋_GBK" w:cs="Times New Roman"/>
          <w:b w:val="0"/>
          <w:bCs w:val="0"/>
          <w:kern w:val="2"/>
          <w:sz w:val="32"/>
          <w:szCs w:val="32"/>
          <w:lang w:val="en-US" w:eastAsia="zh-CN" w:bidi="ar-SA"/>
        </w:rPr>
        <w:t>6</w:t>
      </w:r>
      <w:r>
        <w:rPr>
          <w:rFonts w:hint="default" w:ascii="Times New Roman" w:hAnsi="Times New Roman" w:eastAsia="方正仿宋_GBK" w:cs="Times New Roman"/>
          <w:b w:val="0"/>
          <w:bCs w:val="0"/>
          <w:kern w:val="2"/>
          <w:sz w:val="32"/>
          <w:szCs w:val="32"/>
          <w:lang w:val="en-US" w:eastAsia="zh-CN" w:bidi="ar-SA"/>
        </w:rPr>
        <w:t>条，其中量化指标条数共6条，所有绩效指标均通过清晰、可衡量的指标值予以体现，并且做到了与项目目标任务数或计划数相对应。</w:t>
      </w:r>
    </w:p>
    <w:p>
      <w:pPr>
        <w:spacing w:line="360" w:lineRule="auto"/>
        <w:ind w:firstLine="600" w:firstLineChars="200"/>
        <w:rPr>
          <w:rFonts w:hint="eastAsia"/>
          <w:color w:val="auto"/>
        </w:rPr>
      </w:pPr>
      <w:r>
        <w:rPr>
          <w:rFonts w:hint="eastAsia"/>
          <w:lang w:val="en-US" w:eastAsia="zh-CN"/>
        </w:rPr>
        <w:t>此项权重分3分，得分3分。</w:t>
      </w:r>
    </w:p>
    <w:p>
      <w:pPr>
        <w:spacing w:line="360" w:lineRule="auto"/>
        <w:rPr>
          <w:color w:val="auto"/>
        </w:rPr>
      </w:pPr>
      <w:r>
        <w:rPr>
          <w:rFonts w:hint="eastAsia"/>
          <w:color w:val="auto"/>
        </w:rPr>
        <w:t>5、预算编制科学性</w:t>
      </w:r>
    </w:p>
    <w:p>
      <w:pPr>
        <w:pageBreakBefore w:val="0"/>
        <w:kinsoku/>
        <w:wordWrap/>
        <w:overflowPunct/>
        <w:topLinePunct w:val="0"/>
        <w:autoSpaceDE/>
        <w:autoSpaceDN/>
        <w:bidi w:val="0"/>
        <w:adjustRightInd/>
        <w:snapToGrid/>
        <w:spacing w:line="540" w:lineRule="exact"/>
        <w:ind w:firstLine="640" w:firstLineChars="200"/>
        <w:jc w:val="both"/>
        <w:outlineLvl w:val="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预算编制经过科学论证；预算内容与项目内容匹配；预算额度测算依据充分，</w:t>
      </w:r>
      <w:r>
        <w:rPr>
          <w:rFonts w:hint="eastAsia" w:eastAsia="方正仿宋_GBK" w:cs="Times New Roman"/>
          <w:b w:val="0"/>
          <w:bCs w:val="0"/>
          <w:kern w:val="2"/>
          <w:sz w:val="32"/>
          <w:szCs w:val="32"/>
          <w:lang w:val="en-US" w:eastAsia="zh-CN" w:bidi="ar-SA"/>
        </w:rPr>
        <w:t>按</w:t>
      </w:r>
      <w:r>
        <w:rPr>
          <w:rFonts w:hint="default" w:ascii="Times New Roman" w:hAnsi="Times New Roman" w:eastAsia="方正仿宋_GBK" w:cs="Times New Roman"/>
          <w:b w:val="0"/>
          <w:bCs w:val="0"/>
          <w:kern w:val="2"/>
          <w:sz w:val="32"/>
          <w:szCs w:val="32"/>
          <w:lang w:val="en-US" w:eastAsia="zh-CN" w:bidi="ar-SA"/>
        </w:rPr>
        <w:t>照标准编制；预算确定的项目投资额、资金量与工作任务相匹配。</w:t>
      </w:r>
    </w:p>
    <w:p>
      <w:pPr>
        <w:spacing w:line="360" w:lineRule="auto"/>
        <w:ind w:firstLine="600" w:firstLineChars="200"/>
        <w:rPr>
          <w:rFonts w:hint="eastAsia"/>
          <w:color w:val="auto"/>
        </w:rPr>
      </w:pPr>
      <w:r>
        <w:rPr>
          <w:rFonts w:hint="eastAsia"/>
          <w:lang w:val="en-US" w:eastAsia="zh-CN"/>
        </w:rPr>
        <w:t>此项权重分3分，得分3分。</w:t>
      </w:r>
    </w:p>
    <w:p>
      <w:pPr>
        <w:spacing w:line="360" w:lineRule="auto"/>
        <w:rPr>
          <w:color w:val="auto"/>
        </w:rPr>
      </w:pPr>
      <w:r>
        <w:rPr>
          <w:rFonts w:hint="eastAsia"/>
          <w:color w:val="auto"/>
        </w:rPr>
        <w:t>6、资金分配合理性</w:t>
      </w:r>
    </w:p>
    <w:p>
      <w:pPr>
        <w:pageBreakBefore w:val="0"/>
        <w:kinsoku/>
        <w:wordWrap/>
        <w:overflowPunct/>
        <w:topLinePunct w:val="0"/>
        <w:autoSpaceDE/>
        <w:autoSpaceDN/>
        <w:bidi w:val="0"/>
        <w:adjustRightInd/>
        <w:snapToGrid/>
        <w:spacing w:line="540" w:lineRule="exact"/>
        <w:ind w:firstLine="640" w:firstLineChars="200"/>
        <w:jc w:val="both"/>
        <w:outlineLvl w:val="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预算资金分配依据充分；资金分配额度合理，与项目单位或地方实际相适应。</w:t>
      </w:r>
    </w:p>
    <w:p>
      <w:pPr>
        <w:spacing w:line="360" w:lineRule="auto"/>
        <w:ind w:firstLine="600" w:firstLineChars="200"/>
        <w:rPr>
          <w:rFonts w:hint="eastAsia" w:ascii="仿宋_GB2312" w:eastAsia="仿宋_GB2312"/>
          <w:b w:val="0"/>
          <w:bCs w:val="0"/>
          <w:color w:val="auto"/>
        </w:rPr>
      </w:pPr>
      <w:bookmarkStart w:id="12" w:name="_Toc68703839"/>
      <w:r>
        <w:rPr>
          <w:rFonts w:hint="eastAsia"/>
          <w:lang w:val="en-US" w:eastAsia="zh-CN"/>
        </w:rPr>
        <w:t>此项权重分5分，得分5分。</w:t>
      </w:r>
    </w:p>
    <w:p>
      <w:pPr>
        <w:pStyle w:val="4"/>
        <w:spacing w:line="360" w:lineRule="auto"/>
        <w:rPr>
          <w:rFonts w:ascii="仿宋_GB2312" w:eastAsia="仿宋_GB2312"/>
          <w:b w:val="0"/>
          <w:bCs w:val="0"/>
          <w:color w:val="auto"/>
        </w:rPr>
      </w:pPr>
      <w:r>
        <w:rPr>
          <w:rFonts w:hint="eastAsia" w:ascii="仿宋_GB2312" w:eastAsia="仿宋_GB2312"/>
          <w:b w:val="0"/>
          <w:bCs w:val="0"/>
          <w:color w:val="auto"/>
        </w:rPr>
        <w:t>（二）项目过程情况。</w:t>
      </w:r>
      <w:bookmarkEnd w:id="12"/>
    </w:p>
    <w:p>
      <w:pPr>
        <w:spacing w:line="360" w:lineRule="auto"/>
        <w:rPr>
          <w:color w:val="auto"/>
        </w:rPr>
      </w:pPr>
      <w:r>
        <w:rPr>
          <w:rFonts w:hint="eastAsia"/>
          <w:color w:val="auto"/>
        </w:rPr>
        <w:t>1、资金到位率：</w:t>
      </w:r>
    </w:p>
    <w:p>
      <w:pPr>
        <w:pageBreakBefore w:val="0"/>
        <w:kinsoku/>
        <w:wordWrap/>
        <w:overflowPunct/>
        <w:topLinePunct w:val="0"/>
        <w:autoSpaceDE/>
        <w:autoSpaceDN/>
        <w:bidi w:val="0"/>
        <w:adjustRightInd/>
        <w:snapToGrid/>
        <w:spacing w:line="540" w:lineRule="exact"/>
        <w:ind w:firstLine="640" w:firstLineChars="200"/>
        <w:jc w:val="both"/>
        <w:outlineLvl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预算资金40万元，实际到位资金40万元，资金到位率100%。</w:t>
      </w:r>
    </w:p>
    <w:p>
      <w:pPr>
        <w:spacing w:line="360" w:lineRule="auto"/>
        <w:ind w:firstLine="600" w:firstLineChars="200"/>
        <w:rPr>
          <w:rFonts w:hint="eastAsia"/>
          <w:color w:val="auto"/>
        </w:rPr>
      </w:pPr>
      <w:r>
        <w:rPr>
          <w:rFonts w:hint="eastAsia"/>
          <w:lang w:val="en-US" w:eastAsia="zh-CN"/>
        </w:rPr>
        <w:t>此项权重分4分，得分4分。</w:t>
      </w:r>
    </w:p>
    <w:p>
      <w:pPr>
        <w:spacing w:line="360" w:lineRule="auto"/>
        <w:rPr>
          <w:color w:val="auto"/>
        </w:rPr>
      </w:pPr>
      <w:r>
        <w:rPr>
          <w:rFonts w:hint="eastAsia"/>
          <w:color w:val="auto"/>
        </w:rPr>
        <w:t>2、预算执行率</w:t>
      </w:r>
    </w:p>
    <w:p>
      <w:pPr>
        <w:pageBreakBefore w:val="0"/>
        <w:kinsoku/>
        <w:wordWrap/>
        <w:overflowPunct/>
        <w:topLinePunct w:val="0"/>
        <w:autoSpaceDE/>
        <w:autoSpaceDN/>
        <w:bidi w:val="0"/>
        <w:adjustRightInd/>
        <w:snapToGrid/>
        <w:spacing w:line="540" w:lineRule="exact"/>
        <w:ind w:firstLine="640" w:firstLineChars="200"/>
        <w:jc w:val="both"/>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年初预算数</w:t>
      </w:r>
      <w:r>
        <w:rPr>
          <w:rFonts w:hint="default" w:ascii="Times New Roman" w:hAnsi="Times New Roman" w:eastAsia="方正仿宋_GBK" w:cs="Times New Roman"/>
          <w:sz w:val="32"/>
          <w:szCs w:val="32"/>
          <w:lang w:val="en-US" w:eastAsia="zh-CN"/>
        </w:rPr>
        <w:t>40</w:t>
      </w:r>
      <w:r>
        <w:rPr>
          <w:rFonts w:hint="default" w:ascii="Times New Roman" w:hAnsi="Times New Roman" w:eastAsia="方正仿宋_GBK" w:cs="Times New Roman"/>
          <w:sz w:val="32"/>
          <w:szCs w:val="32"/>
        </w:rPr>
        <w:t>万元，全年预算数</w:t>
      </w:r>
      <w:r>
        <w:rPr>
          <w:rFonts w:hint="default" w:ascii="Times New Roman" w:hAnsi="Times New Roman" w:eastAsia="方正仿宋_GBK" w:cs="Times New Roman"/>
          <w:sz w:val="32"/>
          <w:szCs w:val="32"/>
          <w:lang w:val="en-US" w:eastAsia="zh-CN"/>
        </w:rPr>
        <w:t>40</w:t>
      </w:r>
      <w:r>
        <w:rPr>
          <w:rFonts w:hint="default" w:ascii="Times New Roman" w:hAnsi="Times New Roman" w:eastAsia="方正仿宋_GBK" w:cs="Times New Roman"/>
          <w:sz w:val="32"/>
          <w:szCs w:val="32"/>
        </w:rPr>
        <w:t>万元，全年执行数</w:t>
      </w:r>
      <w:r>
        <w:rPr>
          <w:rFonts w:hint="eastAsia" w:eastAsia="方正仿宋_GBK" w:cs="Times New Roman"/>
          <w:sz w:val="32"/>
          <w:szCs w:val="32"/>
          <w:lang w:val="en-US" w:eastAsia="zh-CN"/>
        </w:rPr>
        <w:t>17.05</w:t>
      </w:r>
      <w:r>
        <w:rPr>
          <w:rFonts w:hint="default" w:ascii="Times New Roman" w:hAnsi="Times New Roman" w:eastAsia="方正仿宋_GBK" w:cs="Times New Roman"/>
          <w:sz w:val="32"/>
          <w:szCs w:val="32"/>
        </w:rPr>
        <w:t>万元，预算执行率为</w:t>
      </w:r>
      <w:r>
        <w:rPr>
          <w:rFonts w:hint="eastAsia" w:eastAsia="方正仿宋_GBK" w:cs="Times New Roman"/>
          <w:sz w:val="32"/>
          <w:szCs w:val="32"/>
          <w:lang w:val="en-US" w:eastAsia="zh-CN"/>
        </w:rPr>
        <w:t>42.62</w:t>
      </w:r>
      <w:r>
        <w:rPr>
          <w:rFonts w:hint="default" w:ascii="Times New Roman" w:hAnsi="Times New Roman" w:eastAsia="方正仿宋_GBK" w:cs="Times New Roman"/>
          <w:sz w:val="32"/>
          <w:szCs w:val="32"/>
        </w:rPr>
        <w:t>%</w:t>
      </w:r>
    </w:p>
    <w:p>
      <w:pPr>
        <w:spacing w:line="360" w:lineRule="auto"/>
        <w:ind w:firstLine="600" w:firstLineChars="200"/>
        <w:rPr>
          <w:rFonts w:hint="eastAsia"/>
          <w:color w:val="auto"/>
        </w:rPr>
      </w:pPr>
      <w:r>
        <w:rPr>
          <w:rFonts w:hint="eastAsia"/>
          <w:lang w:val="en-US" w:eastAsia="zh-CN"/>
        </w:rPr>
        <w:t>此项权重分4分，得分1.7分。</w:t>
      </w:r>
    </w:p>
    <w:p>
      <w:pPr>
        <w:spacing w:line="360" w:lineRule="auto"/>
        <w:ind w:firstLine="600" w:firstLineChars="200"/>
        <w:rPr>
          <w:rFonts w:hint="eastAsia"/>
          <w:color w:val="auto"/>
        </w:rPr>
      </w:pPr>
      <w:r>
        <w:rPr>
          <w:rFonts w:hint="eastAsia"/>
          <w:lang w:val="en-US" w:eastAsia="zh-CN"/>
        </w:rPr>
        <w:t>此项权重分4分，得分4分。</w:t>
      </w:r>
    </w:p>
    <w:p>
      <w:pPr>
        <w:spacing w:line="360" w:lineRule="auto"/>
        <w:rPr>
          <w:color w:val="auto"/>
        </w:rPr>
      </w:pPr>
      <w:r>
        <w:rPr>
          <w:rFonts w:hint="eastAsia"/>
          <w:color w:val="auto"/>
        </w:rPr>
        <w:t>3、资金使用合规性</w:t>
      </w:r>
    </w:p>
    <w:p>
      <w:pPr>
        <w:pageBreakBefore w:val="0"/>
        <w:kinsoku/>
        <w:wordWrap/>
        <w:overflowPunct/>
        <w:topLinePunct w:val="0"/>
        <w:autoSpaceDE/>
        <w:autoSpaceDN/>
        <w:bidi w:val="0"/>
        <w:adjustRightInd/>
        <w:snapToGrid/>
        <w:spacing w:line="540" w:lineRule="exact"/>
        <w:ind w:firstLine="640" w:firstLineChars="200"/>
        <w:jc w:val="both"/>
        <w:outlineLvl w:val="0"/>
        <w:rPr>
          <w:color w:val="auto"/>
        </w:rPr>
      </w:pPr>
      <w:r>
        <w:rPr>
          <w:rFonts w:hint="default" w:ascii="Times New Roman" w:hAnsi="Times New Roman" w:eastAsia="方正仿宋_GBK" w:cs="Times New Roman"/>
          <w:sz w:val="32"/>
          <w:szCs w:val="32"/>
          <w:lang w:val="en-US" w:eastAsia="zh-CN"/>
        </w:rPr>
        <w:t>项目严格按照预期绩效目标执行预算资金。制定了相关的制度和管理规定，对项目经费使用进行规范管理，财务制度健全、执行严格。资金的拨付有完整的审批程序和手续，在项目资金拨付和使用过程中，为确保项目资金的安全性，提高项目资金使用效率，严格遵循项目资金的拨付程序，认真审核项目实施各阶段的相关材料和手续，根据项目实施进展情况拨付资金。资金使用符合该项目的立项批复。资金不存在截留、挤占、虚列支出等情况</w:t>
      </w:r>
      <w:r>
        <w:rPr>
          <w:rFonts w:hint="eastAsia" w:ascii="Times New Roman" w:hAnsi="Times New Roman" w:eastAsia="方正仿宋_GBK" w:cs="Times New Roman"/>
          <w:sz w:val="32"/>
          <w:szCs w:val="32"/>
          <w:lang w:val="en-US" w:eastAsia="zh-CN"/>
        </w:rPr>
        <w:t>。</w:t>
      </w:r>
    </w:p>
    <w:p>
      <w:pPr>
        <w:spacing w:line="360" w:lineRule="auto"/>
        <w:ind w:firstLine="600" w:firstLineChars="200"/>
        <w:rPr>
          <w:rFonts w:hint="eastAsia"/>
          <w:color w:val="auto"/>
        </w:rPr>
      </w:pPr>
      <w:r>
        <w:rPr>
          <w:rFonts w:hint="eastAsia"/>
          <w:lang w:val="en-US" w:eastAsia="zh-CN"/>
        </w:rPr>
        <w:t>此项权重分4分，得分4分。</w:t>
      </w:r>
    </w:p>
    <w:p>
      <w:pPr>
        <w:spacing w:line="360" w:lineRule="auto"/>
        <w:rPr>
          <w:color w:val="auto"/>
        </w:rPr>
      </w:pPr>
      <w:r>
        <w:rPr>
          <w:rFonts w:hint="eastAsia"/>
          <w:color w:val="auto"/>
        </w:rPr>
        <w:t>4、管理制度健全性</w:t>
      </w:r>
    </w:p>
    <w:p>
      <w:pPr>
        <w:pageBreakBefore w:val="0"/>
        <w:kinsoku/>
        <w:wordWrap/>
        <w:overflowPunct/>
        <w:topLinePunct w:val="0"/>
        <w:autoSpaceDE/>
        <w:autoSpaceDN/>
        <w:bidi w:val="0"/>
        <w:adjustRightInd/>
        <w:snapToGrid/>
        <w:spacing w:line="540" w:lineRule="exact"/>
        <w:ind w:firstLine="640" w:firstLineChars="200"/>
        <w:jc w:val="both"/>
        <w:outlineLvl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制定了相关管理办法，对财政资金进行严格管理，做到专款专用，项目资金使用符合相关的财务管理制度规定，能够反映和考核项目资金的规范运行情况；项目实施单位的财务和业务管理制度健全，能够反映和考核财务和业务管理制度对项目顺利实施的保障情况。</w:t>
      </w:r>
    </w:p>
    <w:p>
      <w:pPr>
        <w:spacing w:line="360" w:lineRule="auto"/>
        <w:ind w:firstLine="600" w:firstLineChars="200"/>
        <w:rPr>
          <w:rFonts w:hint="eastAsia"/>
          <w:color w:val="auto"/>
        </w:rPr>
      </w:pPr>
      <w:r>
        <w:rPr>
          <w:rFonts w:hint="eastAsia"/>
          <w:lang w:val="en-US" w:eastAsia="zh-CN"/>
        </w:rPr>
        <w:t>此项权重分4分，得分4分。</w:t>
      </w:r>
    </w:p>
    <w:p>
      <w:pPr>
        <w:spacing w:line="360" w:lineRule="auto"/>
        <w:rPr>
          <w:color w:val="auto"/>
        </w:rPr>
      </w:pPr>
      <w:r>
        <w:rPr>
          <w:rFonts w:hint="eastAsia"/>
          <w:color w:val="auto"/>
        </w:rPr>
        <w:t>5、制度执行有效性</w:t>
      </w:r>
    </w:p>
    <w:p>
      <w:pPr>
        <w:pageBreakBefore w:val="0"/>
        <w:kinsoku/>
        <w:wordWrap/>
        <w:overflowPunct/>
        <w:topLinePunct w:val="0"/>
        <w:autoSpaceDE/>
        <w:autoSpaceDN/>
        <w:bidi w:val="0"/>
        <w:adjustRightInd/>
        <w:snapToGrid/>
        <w:spacing w:line="540" w:lineRule="exact"/>
        <w:ind w:firstLine="640" w:firstLineChars="200"/>
        <w:jc w:val="both"/>
        <w:outlineLvl w:val="0"/>
        <w:rPr>
          <w:rFonts w:hint="default" w:ascii="Times New Roman" w:hAnsi="Times New Roman" w:eastAsia="方正仿宋_GBK" w:cs="Times New Roman"/>
          <w:sz w:val="32"/>
          <w:szCs w:val="32"/>
          <w:lang w:val="en-US" w:eastAsia="zh-CN"/>
        </w:rPr>
      </w:pPr>
      <w:bookmarkStart w:id="13" w:name="_Toc68703840"/>
      <w:r>
        <w:rPr>
          <w:rFonts w:hint="default" w:ascii="Times New Roman" w:hAnsi="Times New Roman" w:eastAsia="方正仿宋_GBK" w:cs="Times New Roman"/>
          <w:sz w:val="32"/>
          <w:szCs w:val="32"/>
          <w:lang w:val="en-US" w:eastAsia="zh-CN"/>
        </w:rPr>
        <w:t>①遵守相关法律法规和相关管理规定；</w:t>
      </w:r>
    </w:p>
    <w:p>
      <w:pPr>
        <w:pageBreakBefore w:val="0"/>
        <w:kinsoku/>
        <w:wordWrap/>
        <w:overflowPunct/>
        <w:topLinePunct w:val="0"/>
        <w:autoSpaceDE/>
        <w:autoSpaceDN/>
        <w:bidi w:val="0"/>
        <w:adjustRightInd/>
        <w:snapToGrid/>
        <w:spacing w:line="540" w:lineRule="exact"/>
        <w:ind w:firstLine="640" w:firstLineChars="200"/>
        <w:jc w:val="both"/>
        <w:outlineLvl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②项目调整及支出调整手续完备；</w:t>
      </w:r>
    </w:p>
    <w:p>
      <w:pPr>
        <w:spacing w:line="360" w:lineRule="auto"/>
        <w:ind w:firstLine="600" w:firstLineChars="200"/>
        <w:rPr>
          <w:rFonts w:hint="eastAsia" w:ascii="仿宋_GB2312" w:eastAsia="仿宋_GB2312"/>
          <w:b w:val="0"/>
          <w:bCs w:val="0"/>
          <w:color w:val="auto"/>
        </w:rPr>
      </w:pPr>
      <w:r>
        <w:rPr>
          <w:rFonts w:hint="eastAsia"/>
          <w:lang w:val="en-US" w:eastAsia="zh-CN"/>
        </w:rPr>
        <w:t>此项权重分4分，得分4分。</w:t>
      </w:r>
    </w:p>
    <w:p>
      <w:pPr>
        <w:pStyle w:val="4"/>
        <w:spacing w:line="360" w:lineRule="auto"/>
        <w:rPr>
          <w:rFonts w:ascii="仿宋_GB2312" w:eastAsia="仿宋_GB2312"/>
          <w:b w:val="0"/>
          <w:bCs w:val="0"/>
          <w:color w:val="auto"/>
        </w:rPr>
      </w:pPr>
      <w:r>
        <w:rPr>
          <w:rFonts w:hint="eastAsia" w:ascii="仿宋_GB2312" w:eastAsia="仿宋_GB2312"/>
          <w:b w:val="0"/>
          <w:bCs w:val="0"/>
          <w:color w:val="auto"/>
        </w:rPr>
        <w:t>（三）项目产出情况。</w:t>
      </w:r>
      <w:bookmarkEnd w:id="13"/>
    </w:p>
    <w:p>
      <w:pPr>
        <w:pageBreakBefore w:val="0"/>
        <w:kinsoku/>
        <w:wordWrap/>
        <w:overflowPunct/>
        <w:topLinePunct w:val="0"/>
        <w:autoSpaceDE/>
        <w:autoSpaceDN/>
        <w:bidi w:val="0"/>
        <w:adjustRightInd/>
        <w:snapToGrid/>
        <w:spacing w:line="540" w:lineRule="exact"/>
        <w:ind w:firstLine="640" w:firstLineChars="200"/>
        <w:jc w:val="both"/>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数量指标</w:t>
      </w:r>
      <w:r>
        <w:rPr>
          <w:rFonts w:hint="default" w:ascii="Times New Roman" w:hAnsi="Times New Roman" w:eastAsia="方正仿宋_GBK" w:cs="Times New Roman"/>
          <w:sz w:val="32"/>
          <w:szCs w:val="32"/>
          <w:lang w:eastAsia="zh-CN"/>
        </w:rPr>
        <w:t>完成情况</w:t>
      </w:r>
      <w:r>
        <w:rPr>
          <w:rFonts w:hint="default" w:ascii="Times New Roman" w:hAnsi="Times New Roman" w:eastAsia="方正仿宋_GBK" w:cs="Times New Roman"/>
          <w:sz w:val="32"/>
          <w:szCs w:val="32"/>
        </w:rPr>
        <w:t>：指标1：，指标值：保障出差人员人数，实际完成值</w:t>
      </w:r>
      <w:r>
        <w:rPr>
          <w:rFonts w:hint="eastAsia" w:eastAsia="方正仿宋_GBK" w:cs="Times New Roman"/>
          <w:sz w:val="32"/>
          <w:szCs w:val="32"/>
          <w:lang w:val="en-US" w:eastAsia="zh-CN"/>
        </w:rPr>
        <w:t>5人</w:t>
      </w:r>
      <w:r>
        <w:rPr>
          <w:rFonts w:hint="default" w:ascii="Times New Roman" w:hAnsi="Times New Roman" w:eastAsia="方正仿宋_GBK" w:cs="Times New Roman"/>
          <w:sz w:val="32"/>
          <w:szCs w:val="32"/>
        </w:rPr>
        <w:t>，指标完成率</w:t>
      </w:r>
      <w:r>
        <w:rPr>
          <w:rFonts w:hint="default"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p>
    <w:p>
      <w:pPr>
        <w:spacing w:line="360" w:lineRule="auto"/>
        <w:ind w:firstLine="600" w:firstLineChars="200"/>
        <w:rPr>
          <w:rFonts w:hint="default" w:ascii="Times New Roman" w:hAnsi="Times New Roman" w:eastAsia="方正仿宋_GBK" w:cs="Times New Roman"/>
          <w:sz w:val="32"/>
          <w:szCs w:val="32"/>
        </w:rPr>
      </w:pPr>
      <w:r>
        <w:rPr>
          <w:rFonts w:hint="eastAsia"/>
          <w:lang w:val="en-US" w:eastAsia="zh-CN"/>
        </w:rPr>
        <w:t>此项权重分10分，得分10分。</w:t>
      </w:r>
    </w:p>
    <w:p>
      <w:pPr>
        <w:pageBreakBefore w:val="0"/>
        <w:kinsoku/>
        <w:wordWrap/>
        <w:overflowPunct/>
        <w:topLinePunct w:val="0"/>
        <w:autoSpaceDE/>
        <w:autoSpaceDN/>
        <w:bidi w:val="0"/>
        <w:adjustRightInd/>
        <w:snapToGrid/>
        <w:spacing w:line="540" w:lineRule="exact"/>
        <w:ind w:firstLine="640" w:firstLineChars="200"/>
        <w:jc w:val="both"/>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质量指标</w:t>
      </w:r>
      <w:r>
        <w:rPr>
          <w:rFonts w:hint="default" w:ascii="Times New Roman" w:hAnsi="Times New Roman" w:eastAsia="方正仿宋_GBK" w:cs="Times New Roman"/>
          <w:sz w:val="32"/>
          <w:szCs w:val="32"/>
          <w:lang w:eastAsia="zh-CN"/>
        </w:rPr>
        <w:t>完成情况</w:t>
      </w:r>
      <w:r>
        <w:rPr>
          <w:rFonts w:hint="default" w:ascii="Times New Roman" w:hAnsi="Times New Roman" w:eastAsia="方正仿宋_GBK" w:cs="Times New Roman"/>
          <w:sz w:val="32"/>
          <w:szCs w:val="32"/>
        </w:rPr>
        <w:t>：指标1：出差经费报销率，指标值：</w:t>
      </w:r>
      <w:r>
        <w:rPr>
          <w:rFonts w:hint="default"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%，实际完成值</w:t>
      </w:r>
      <w:r>
        <w:rPr>
          <w:rFonts w:hint="default"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%，指标完成率</w:t>
      </w:r>
      <w:r>
        <w:rPr>
          <w:rFonts w:hint="default"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p>
    <w:p>
      <w:pPr>
        <w:spacing w:line="360" w:lineRule="auto"/>
        <w:ind w:firstLine="600" w:firstLineChars="200"/>
        <w:rPr>
          <w:rFonts w:hint="default" w:ascii="Times New Roman" w:hAnsi="Times New Roman" w:eastAsia="方正仿宋_GBK" w:cs="Times New Roman"/>
          <w:sz w:val="32"/>
          <w:szCs w:val="32"/>
        </w:rPr>
      </w:pPr>
      <w:r>
        <w:rPr>
          <w:rFonts w:hint="eastAsia"/>
          <w:lang w:val="en-US" w:eastAsia="zh-CN"/>
        </w:rPr>
        <w:t>此项权重分10分，得分10分。</w:t>
      </w:r>
    </w:p>
    <w:p>
      <w:pPr>
        <w:pageBreakBefore w:val="0"/>
        <w:kinsoku/>
        <w:wordWrap/>
        <w:overflowPunct/>
        <w:topLinePunct w:val="0"/>
        <w:autoSpaceDE/>
        <w:autoSpaceDN/>
        <w:bidi w:val="0"/>
        <w:adjustRightInd/>
        <w:snapToGrid/>
        <w:spacing w:line="540" w:lineRule="exact"/>
        <w:ind w:firstLine="640" w:firstLineChars="200"/>
        <w:jc w:val="both"/>
        <w:outlineLvl w:val="0"/>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时效指标</w:t>
      </w:r>
      <w:r>
        <w:rPr>
          <w:rFonts w:hint="default" w:ascii="Times New Roman" w:hAnsi="Times New Roman" w:eastAsia="方正仿宋_GBK" w:cs="Times New Roman"/>
          <w:sz w:val="32"/>
          <w:szCs w:val="32"/>
          <w:lang w:eastAsia="zh-CN"/>
        </w:rPr>
        <w:t>完成情况</w:t>
      </w:r>
      <w:r>
        <w:rPr>
          <w:rFonts w:hint="default" w:ascii="Times New Roman" w:hAnsi="Times New Roman" w:eastAsia="方正仿宋_GBK" w:cs="Times New Roman"/>
          <w:sz w:val="32"/>
          <w:szCs w:val="32"/>
        </w:rPr>
        <w:t>：指标1：出差经费报销率，指标值：</w:t>
      </w:r>
      <w:r>
        <w:rPr>
          <w:rFonts w:hint="default" w:ascii="Times New Roman" w:hAnsi="Times New Roman" w:eastAsia="方正仿宋_GBK" w:cs="Times New Roman"/>
          <w:sz w:val="32"/>
          <w:szCs w:val="32"/>
          <w:lang w:val="en-US" w:eastAsia="zh-CN"/>
        </w:rPr>
        <w:t>95%</w:t>
      </w:r>
      <w:r>
        <w:rPr>
          <w:rFonts w:hint="default" w:ascii="Times New Roman" w:hAnsi="Times New Roman" w:eastAsia="方正仿宋_GBK" w:cs="Times New Roman"/>
          <w:sz w:val="32"/>
          <w:szCs w:val="32"/>
        </w:rPr>
        <w:t>，实际完成值</w:t>
      </w:r>
      <w:r>
        <w:rPr>
          <w:rFonts w:hint="default" w:ascii="Times New Roman" w:hAnsi="Times New Roman" w:eastAsia="方正仿宋_GBK" w:cs="Times New Roman"/>
          <w:sz w:val="32"/>
          <w:szCs w:val="32"/>
          <w:lang w:val="en-US" w:eastAsia="zh-CN"/>
        </w:rPr>
        <w:t>95%</w:t>
      </w:r>
      <w:r>
        <w:rPr>
          <w:rFonts w:hint="default" w:ascii="Times New Roman" w:hAnsi="Times New Roman" w:eastAsia="方正仿宋_GBK" w:cs="Times New Roman"/>
          <w:sz w:val="32"/>
          <w:szCs w:val="32"/>
        </w:rPr>
        <w:t>，指标完成率</w:t>
      </w:r>
      <w:r>
        <w:rPr>
          <w:rFonts w:hint="default"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w:t>
      </w:r>
      <w:r>
        <w:rPr>
          <w:rFonts w:hint="eastAsia" w:eastAsia="方正仿宋_GBK" w:cs="Times New Roman"/>
          <w:sz w:val="32"/>
          <w:szCs w:val="32"/>
          <w:lang w:eastAsia="zh-CN"/>
        </w:rPr>
        <w:t>。</w:t>
      </w:r>
    </w:p>
    <w:p>
      <w:pPr>
        <w:spacing w:line="360" w:lineRule="auto"/>
        <w:ind w:firstLine="600" w:firstLineChars="200"/>
        <w:rPr>
          <w:rFonts w:hint="default" w:ascii="Times New Roman" w:hAnsi="Times New Roman" w:eastAsia="方正仿宋_GBK" w:cs="Times New Roman"/>
          <w:sz w:val="32"/>
          <w:szCs w:val="32"/>
          <w:lang w:val="en-US" w:eastAsia="zh-CN"/>
        </w:rPr>
      </w:pPr>
      <w:r>
        <w:rPr>
          <w:rFonts w:hint="eastAsia"/>
          <w:lang w:val="en-US" w:eastAsia="zh-CN"/>
        </w:rPr>
        <w:t>此项权重分10分，得分10分。</w:t>
      </w:r>
    </w:p>
    <w:p>
      <w:pPr>
        <w:pageBreakBefore w:val="0"/>
        <w:kinsoku/>
        <w:wordWrap/>
        <w:overflowPunct/>
        <w:topLinePunct w:val="0"/>
        <w:autoSpaceDE/>
        <w:autoSpaceDN/>
        <w:bidi w:val="0"/>
        <w:adjustRightInd/>
        <w:snapToGrid/>
        <w:spacing w:line="540" w:lineRule="exact"/>
        <w:ind w:firstLine="640" w:firstLineChars="200"/>
        <w:jc w:val="both"/>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经济成本指标完成情况</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指标1：人均出差经费，指标值：</w:t>
      </w:r>
      <w:r>
        <w:rPr>
          <w:rFonts w:hint="eastAsia" w:eastAsia="方正仿宋_GBK" w:cs="Times New Roman"/>
          <w:sz w:val="32"/>
          <w:szCs w:val="32"/>
          <w:lang w:val="en-US" w:eastAsia="zh-CN"/>
        </w:rPr>
        <w:t>40</w:t>
      </w:r>
      <w:r>
        <w:rPr>
          <w:rFonts w:hint="default" w:ascii="Times New Roman" w:hAnsi="Times New Roman" w:eastAsia="方正仿宋_GBK" w:cs="Times New Roman"/>
          <w:sz w:val="32"/>
          <w:szCs w:val="32"/>
          <w:lang w:val="en-US" w:eastAsia="zh-CN"/>
        </w:rPr>
        <w:t>万</w:t>
      </w:r>
      <w:r>
        <w:rPr>
          <w:rFonts w:hint="default" w:ascii="Times New Roman" w:hAnsi="Times New Roman" w:eastAsia="方正仿宋_GBK" w:cs="Times New Roman"/>
          <w:sz w:val="32"/>
          <w:szCs w:val="32"/>
        </w:rPr>
        <w:t>，实际完成值</w:t>
      </w:r>
      <w:r>
        <w:rPr>
          <w:rFonts w:hint="eastAsia" w:eastAsia="方正仿宋_GBK" w:cs="Times New Roman"/>
          <w:sz w:val="32"/>
          <w:szCs w:val="32"/>
          <w:lang w:val="en-US" w:eastAsia="zh-CN"/>
        </w:rPr>
        <w:t>3.41</w:t>
      </w:r>
      <w:r>
        <w:rPr>
          <w:rFonts w:hint="default" w:ascii="Times New Roman" w:hAnsi="Times New Roman" w:eastAsia="方正仿宋_GBK" w:cs="Times New Roman"/>
          <w:sz w:val="32"/>
          <w:szCs w:val="32"/>
          <w:lang w:val="en-US" w:eastAsia="zh-CN"/>
        </w:rPr>
        <w:t>万</w:t>
      </w:r>
      <w:r>
        <w:rPr>
          <w:rFonts w:hint="default" w:ascii="Times New Roman" w:hAnsi="Times New Roman" w:eastAsia="方正仿宋_GBK" w:cs="Times New Roman"/>
          <w:sz w:val="32"/>
          <w:szCs w:val="32"/>
        </w:rPr>
        <w:t>，指标完成率</w:t>
      </w:r>
      <w:r>
        <w:rPr>
          <w:rFonts w:hint="eastAsia" w:eastAsia="方正仿宋_GBK" w:cs="Times New Roman"/>
          <w:sz w:val="32"/>
          <w:szCs w:val="32"/>
          <w:lang w:val="en-US" w:eastAsia="zh-CN"/>
        </w:rPr>
        <w:t>85</w:t>
      </w:r>
      <w:r>
        <w:rPr>
          <w:rFonts w:hint="default" w:ascii="Times New Roman" w:hAnsi="Times New Roman" w:eastAsia="方正仿宋_GBK" w:cs="Times New Roman"/>
          <w:sz w:val="32"/>
          <w:szCs w:val="32"/>
        </w:rPr>
        <w:t>%，偏差原因：为节约成本，控制出差人数及天数</w:t>
      </w:r>
      <w:r>
        <w:rPr>
          <w:rFonts w:hint="default" w:ascii="Times New Roman" w:hAnsi="Times New Roman" w:eastAsia="方正仿宋_GBK" w:cs="Times New Roman"/>
          <w:sz w:val="32"/>
          <w:szCs w:val="32"/>
          <w:lang w:eastAsia="zh-CN"/>
        </w:rPr>
        <w:t>。</w:t>
      </w:r>
    </w:p>
    <w:p>
      <w:pPr>
        <w:pageBreakBefore w:val="0"/>
        <w:kinsoku/>
        <w:wordWrap/>
        <w:overflowPunct/>
        <w:topLinePunct w:val="0"/>
        <w:autoSpaceDE/>
        <w:autoSpaceDN/>
        <w:bidi w:val="0"/>
        <w:adjustRightInd/>
        <w:snapToGrid/>
        <w:spacing w:line="540" w:lineRule="exact"/>
        <w:ind w:firstLine="640" w:firstLineChars="200"/>
        <w:jc w:val="both"/>
        <w:outlineLvl w:val="0"/>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社会成本指标完成情况</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指标1：</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提高服务水平保障工作效率，指标值：</w:t>
      </w:r>
      <w:r>
        <w:rPr>
          <w:rFonts w:hint="default" w:ascii="Times New Roman" w:hAnsi="Times New Roman" w:eastAsia="方正仿宋_GBK" w:cs="Times New Roman"/>
          <w:sz w:val="32"/>
          <w:szCs w:val="32"/>
          <w:lang w:val="en-US" w:eastAsia="zh-CN"/>
        </w:rPr>
        <w:t>有所提高</w:t>
      </w:r>
      <w:r>
        <w:rPr>
          <w:rFonts w:hint="default" w:ascii="Times New Roman" w:hAnsi="Times New Roman" w:eastAsia="方正仿宋_GBK" w:cs="Times New Roman"/>
          <w:sz w:val="32"/>
          <w:szCs w:val="32"/>
        </w:rPr>
        <w:t>，实际完成值</w:t>
      </w:r>
      <w:r>
        <w:rPr>
          <w:rFonts w:hint="default" w:ascii="Times New Roman" w:hAnsi="Times New Roman" w:eastAsia="方正仿宋_GBK" w:cs="Times New Roman"/>
          <w:sz w:val="32"/>
          <w:szCs w:val="32"/>
          <w:lang w:val="en-US" w:eastAsia="zh-CN"/>
        </w:rPr>
        <w:t>达成目标</w:t>
      </w:r>
      <w:r>
        <w:rPr>
          <w:rFonts w:hint="default" w:ascii="Times New Roman" w:hAnsi="Times New Roman" w:eastAsia="方正仿宋_GBK" w:cs="Times New Roman"/>
          <w:sz w:val="32"/>
          <w:szCs w:val="32"/>
        </w:rPr>
        <w:t>，指标完成率</w:t>
      </w:r>
      <w:r>
        <w:rPr>
          <w:rFonts w:hint="default"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w:t>
      </w:r>
      <w:r>
        <w:rPr>
          <w:rFonts w:hint="eastAsia" w:eastAsia="方正仿宋_GBK" w:cs="Times New Roman"/>
          <w:sz w:val="32"/>
          <w:szCs w:val="32"/>
          <w:lang w:eastAsia="zh-CN"/>
        </w:rPr>
        <w:t>。</w:t>
      </w:r>
    </w:p>
    <w:p>
      <w:pPr>
        <w:spacing w:line="360" w:lineRule="auto"/>
        <w:ind w:firstLine="600" w:firstLineChars="200"/>
        <w:rPr>
          <w:rFonts w:hint="default"/>
        </w:rPr>
      </w:pPr>
      <w:r>
        <w:rPr>
          <w:rFonts w:hint="eastAsia"/>
          <w:lang w:val="en-US" w:eastAsia="zh-CN"/>
        </w:rPr>
        <w:t>此项权重分10分，得分9分。</w:t>
      </w:r>
    </w:p>
    <w:p>
      <w:pPr>
        <w:pageBreakBefore w:val="0"/>
        <w:kinsoku/>
        <w:wordWrap/>
        <w:overflowPunct/>
        <w:topLinePunct w:val="0"/>
        <w:autoSpaceDE/>
        <w:autoSpaceDN/>
        <w:bidi w:val="0"/>
        <w:adjustRightInd/>
        <w:snapToGrid/>
        <w:spacing w:line="540" w:lineRule="exact"/>
        <w:ind w:firstLine="640" w:firstLineChars="200"/>
        <w:jc w:val="both"/>
        <w:outlineLvl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满意度指标完成情况：指标1：提升决策能力、提高服务群众水平，指标值：有所提高，实际完成值达成目标，指标完成率100%；指标2：出差人员满意度，指标值：有所提高，&gt;=95，指标完成率100%</w:t>
      </w:r>
      <w:r>
        <w:rPr>
          <w:rFonts w:hint="eastAsia" w:eastAsia="方正仿宋_GBK" w:cs="Times New Roman"/>
          <w:sz w:val="32"/>
          <w:szCs w:val="32"/>
          <w:lang w:val="en-US" w:eastAsia="zh-CN"/>
        </w:rPr>
        <w:t>。</w:t>
      </w:r>
    </w:p>
    <w:p>
      <w:pPr>
        <w:spacing w:line="360" w:lineRule="auto"/>
        <w:ind w:firstLine="600" w:firstLineChars="200"/>
        <w:rPr>
          <w:rFonts w:hint="eastAsia"/>
          <w:color w:val="auto"/>
        </w:rPr>
      </w:pPr>
      <w:r>
        <w:rPr>
          <w:rFonts w:hint="eastAsia"/>
          <w:lang w:val="en-US" w:eastAsia="zh-CN"/>
        </w:rPr>
        <w:t>此项权重分20分，得分20分。</w:t>
      </w:r>
    </w:p>
    <w:p>
      <w:pPr>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sz w:val="32"/>
          <w:szCs w:val="32"/>
          <w:lang w:eastAsia="zh-Hans"/>
        </w:rPr>
      </w:pPr>
      <w:r>
        <w:rPr>
          <w:rFonts w:hint="eastAsia" w:ascii="Times New Roman" w:hAnsi="Times New Roman" w:eastAsia="黑体" w:cs="Times New Roman"/>
          <w:sz w:val="32"/>
          <w:szCs w:val="32"/>
          <w:lang w:eastAsia="zh-Hans"/>
        </w:rPr>
        <w:t>五、预算执行进度与绩效指标总体完成率偏差</w:t>
      </w:r>
    </w:p>
    <w:p>
      <w:pPr>
        <w:pageBreakBefore w:val="0"/>
        <w:kinsoku/>
        <w:wordWrap/>
        <w:overflowPunct/>
        <w:topLinePunct w:val="0"/>
        <w:autoSpaceDE/>
        <w:autoSpaceDN/>
        <w:bidi w:val="0"/>
        <w:adjustRightInd/>
        <w:snapToGrid/>
        <w:spacing w:line="540" w:lineRule="exact"/>
        <w:ind w:firstLine="600" w:firstLineChars="200"/>
        <w:jc w:val="both"/>
        <w:outlineLvl w:val="0"/>
        <w:rPr>
          <w:rFonts w:hint="default"/>
          <w:lang w:val="en-US" w:eastAsia="zh-CN"/>
        </w:rPr>
      </w:pPr>
      <w:r>
        <w:rPr>
          <w:rFonts w:hint="eastAsia" w:ascii="Times New Roman" w:hAnsi="Times New Roman" w:cs="Times New Roman"/>
          <w:color w:val="auto"/>
          <w:highlight w:val="none"/>
          <w:lang w:val="en-US" w:eastAsia="zh-CN"/>
        </w:rPr>
        <w:t>县级领导差费项目年初预算数40万元，全年预算数40万元，全年执行数17.05万元，预算执行率为42.62%，项目绩效指标总体完成率为97.33%，</w:t>
      </w:r>
      <w:r>
        <w:rPr>
          <w:rFonts w:hint="eastAsia"/>
        </w:rPr>
        <w:t>偏差率</w:t>
      </w:r>
      <w:r>
        <w:rPr>
          <w:rFonts w:hint="eastAsia"/>
          <w:lang w:val="en-US" w:eastAsia="zh-CN"/>
        </w:rPr>
        <w:t>2.67%</w:t>
      </w:r>
      <w:r>
        <w:rPr>
          <w:rFonts w:hint="eastAsia"/>
        </w:rPr>
        <w:t>，偏差原因：</w:t>
      </w:r>
      <w:r>
        <w:rPr>
          <w:rFonts w:hint="default" w:ascii="Times New Roman" w:hAnsi="Times New Roman" w:eastAsia="方正仿宋_GBK" w:cs="Times New Roman"/>
          <w:sz w:val="32"/>
          <w:szCs w:val="32"/>
        </w:rPr>
        <w:t>为节约成本，控制出差人数及天数</w:t>
      </w:r>
      <w:r>
        <w:rPr>
          <w:rFonts w:hint="eastAsia"/>
        </w:rPr>
        <w:t>。</w:t>
      </w:r>
    </w:p>
    <w:p>
      <w:pPr>
        <w:pStyle w:val="3"/>
        <w:spacing w:line="360" w:lineRule="auto"/>
        <w:rPr>
          <w:rFonts w:ascii="宋体" w:hAnsi="宋体" w:eastAsia="宋体"/>
          <w:color w:val="auto"/>
          <w:sz w:val="32"/>
          <w:szCs w:val="32"/>
        </w:rPr>
      </w:pPr>
      <w:bookmarkStart w:id="14" w:name="_Toc68703842"/>
      <w:r>
        <w:rPr>
          <w:rFonts w:hint="eastAsia" w:ascii="宋体" w:hAnsi="宋体" w:eastAsia="宋体"/>
          <w:color w:val="auto"/>
          <w:sz w:val="32"/>
          <w:szCs w:val="32"/>
          <w:lang w:val="en-US" w:eastAsia="zh-CN"/>
        </w:rPr>
        <w:t>六</w:t>
      </w:r>
      <w:r>
        <w:rPr>
          <w:rFonts w:hint="eastAsia" w:ascii="宋体" w:hAnsi="宋体" w:eastAsia="宋体"/>
          <w:color w:val="auto"/>
          <w:sz w:val="32"/>
          <w:szCs w:val="32"/>
        </w:rPr>
        <w:t>、主要经验及做法、存在的问题及原因分析</w:t>
      </w:r>
      <w:bookmarkEnd w:id="14"/>
    </w:p>
    <w:p>
      <w:pPr>
        <w:pStyle w:val="4"/>
        <w:spacing w:line="360" w:lineRule="auto"/>
        <w:rPr>
          <w:rFonts w:ascii="仿宋_GB2312" w:eastAsia="仿宋_GB2312"/>
          <w:b w:val="0"/>
          <w:bCs w:val="0"/>
          <w:color w:val="auto"/>
        </w:rPr>
      </w:pPr>
      <w:bookmarkStart w:id="15" w:name="_Toc68703843"/>
      <w:r>
        <w:rPr>
          <w:rFonts w:hint="eastAsia" w:ascii="仿宋_GB2312" w:eastAsia="仿宋_GB2312"/>
          <w:b w:val="0"/>
          <w:bCs w:val="0"/>
          <w:color w:val="auto"/>
        </w:rPr>
        <w:t>（一）主要经验及做法</w:t>
      </w:r>
      <w:bookmarkEnd w:id="15"/>
    </w:p>
    <w:p>
      <w:pPr>
        <w:pageBreakBefore w:val="0"/>
        <w:kinsoku/>
        <w:wordWrap/>
        <w:overflowPunct/>
        <w:topLinePunct w:val="0"/>
        <w:autoSpaceDE/>
        <w:autoSpaceDN/>
        <w:bidi w:val="0"/>
        <w:adjustRightInd/>
        <w:snapToGrid/>
        <w:spacing w:line="540" w:lineRule="exact"/>
        <w:ind w:firstLine="640" w:firstLineChars="200"/>
        <w:jc w:val="both"/>
        <w:outlineLvl w:val="0"/>
        <w:rPr>
          <w:rFonts w:hint="default" w:ascii="Times New Roman" w:hAnsi="Times New Roman" w:eastAsia="方正仿宋_GBK" w:cs="Times New Roman"/>
          <w:sz w:val="32"/>
          <w:szCs w:val="32"/>
          <w:lang w:val="en-US" w:eastAsia="zh-CN"/>
        </w:rPr>
      </w:pPr>
      <w:bookmarkStart w:id="16" w:name="_Toc68703844"/>
      <w:r>
        <w:rPr>
          <w:rFonts w:hint="default" w:ascii="Times New Roman" w:hAnsi="Times New Roman" w:eastAsia="方正仿宋_GBK" w:cs="Times New Roman"/>
          <w:sz w:val="32"/>
          <w:szCs w:val="32"/>
          <w:lang w:val="en-US" w:eastAsia="zh-CN"/>
        </w:rPr>
        <w:t>经验做法。认真按照财务相关报销制度及标准，按照标准据实报销县级领导差费。</w:t>
      </w:r>
    </w:p>
    <w:p>
      <w:pPr>
        <w:pStyle w:val="4"/>
        <w:spacing w:line="360" w:lineRule="auto"/>
        <w:rPr>
          <w:rFonts w:ascii="仿宋_GB2312" w:eastAsia="仿宋_GB2312"/>
          <w:b w:val="0"/>
          <w:bCs w:val="0"/>
          <w:color w:val="auto"/>
        </w:rPr>
      </w:pPr>
      <w:r>
        <w:rPr>
          <w:rFonts w:hint="eastAsia" w:ascii="仿宋_GB2312" w:eastAsia="仿宋_GB2312"/>
          <w:b w:val="0"/>
          <w:bCs w:val="0"/>
          <w:color w:val="auto"/>
        </w:rPr>
        <w:t>（二）存在的问题及原因分析</w:t>
      </w:r>
      <w:bookmarkEnd w:id="16"/>
    </w:p>
    <w:p>
      <w:pPr>
        <w:pageBreakBefore w:val="0"/>
        <w:kinsoku/>
        <w:wordWrap/>
        <w:overflowPunct/>
        <w:topLinePunct w:val="0"/>
        <w:autoSpaceDE/>
        <w:autoSpaceDN/>
        <w:bidi w:val="0"/>
        <w:adjustRightInd/>
        <w:snapToGrid/>
        <w:spacing w:line="540" w:lineRule="exact"/>
        <w:ind w:firstLine="640" w:firstLineChars="200"/>
        <w:jc w:val="both"/>
        <w:outlineLvl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申请县级领导差费经费指标过程较为繁琐，建议精简过程，以便财务人员更好的保障县级领导公务出差。</w:t>
      </w:r>
      <w:bookmarkStart w:id="17" w:name="_Toc68703845"/>
    </w:p>
    <w:p>
      <w:pPr>
        <w:pageBreakBefore w:val="0"/>
        <w:kinsoku/>
        <w:wordWrap/>
        <w:overflowPunct/>
        <w:topLinePunct w:val="0"/>
        <w:autoSpaceDE/>
        <w:autoSpaceDN/>
        <w:bidi w:val="0"/>
        <w:adjustRightInd/>
        <w:snapToGrid/>
        <w:spacing w:line="540" w:lineRule="exact"/>
        <w:ind w:firstLine="643" w:firstLineChars="200"/>
        <w:jc w:val="both"/>
        <w:outlineLvl w:val="0"/>
        <w:rPr>
          <w:rFonts w:hint="eastAsia" w:ascii="宋体" w:hAnsi="宋体" w:eastAsia="宋体" w:cs="Times New Roman"/>
          <w:b/>
          <w:bCs/>
          <w:color w:val="auto"/>
          <w:kern w:val="44"/>
          <w:sz w:val="32"/>
          <w:szCs w:val="32"/>
          <w:lang w:val="en-US" w:eastAsia="zh-CN" w:bidi="ar-SA"/>
        </w:rPr>
      </w:pPr>
      <w:r>
        <w:rPr>
          <w:rFonts w:hint="eastAsia" w:ascii="宋体" w:hAnsi="宋体" w:eastAsia="宋体" w:cs="Times New Roman"/>
          <w:b/>
          <w:bCs/>
          <w:color w:val="auto"/>
          <w:kern w:val="44"/>
          <w:sz w:val="32"/>
          <w:szCs w:val="32"/>
          <w:lang w:val="en-US" w:eastAsia="zh-CN" w:bidi="ar-SA"/>
        </w:rPr>
        <w:t>七、有关建议</w:t>
      </w:r>
      <w:bookmarkEnd w:id="17"/>
    </w:p>
    <w:p>
      <w:pPr>
        <w:pageBreakBefore w:val="0"/>
        <w:kinsoku/>
        <w:wordWrap/>
        <w:overflowPunct/>
        <w:topLinePunct w:val="0"/>
        <w:autoSpaceDE/>
        <w:autoSpaceDN/>
        <w:bidi w:val="0"/>
        <w:adjustRightInd/>
        <w:snapToGrid/>
        <w:spacing w:line="540" w:lineRule="exact"/>
        <w:ind w:firstLine="640" w:firstLineChars="200"/>
        <w:jc w:val="both"/>
        <w:outlineLvl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1.多进行有关绩效管理工作方面的培训。积极组织第三方开展绩效管理工作培训，进一步夯实业务基础，提高我单位绩效人员水平。</w:t>
      </w:r>
    </w:p>
    <w:p>
      <w:pPr>
        <w:pageBreakBefore w:val="0"/>
        <w:kinsoku/>
        <w:wordWrap/>
        <w:overflowPunct/>
        <w:topLinePunct w:val="0"/>
        <w:autoSpaceDE/>
        <w:autoSpaceDN/>
        <w:bidi w:val="0"/>
        <w:adjustRightInd/>
        <w:snapToGrid/>
        <w:spacing w:line="540" w:lineRule="exact"/>
        <w:ind w:firstLine="640" w:firstLineChars="200"/>
        <w:jc w:val="both"/>
        <w:outlineLvl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2.专门设定对绩效工作人员定职、定岗、定责等相关制度措施，进一步提升我单位绩效管理工作业务水平，扎实做好绩效管理工作。</w:t>
      </w:r>
    </w:p>
    <w:p>
      <w:pPr>
        <w:pageBreakBefore w:val="0"/>
        <w:kinsoku/>
        <w:wordWrap/>
        <w:overflowPunct/>
        <w:topLinePunct w:val="0"/>
        <w:autoSpaceDE/>
        <w:autoSpaceDN/>
        <w:bidi w:val="0"/>
        <w:adjustRightInd/>
        <w:snapToGrid/>
        <w:spacing w:line="540" w:lineRule="exact"/>
        <w:ind w:firstLine="640" w:firstLineChars="200"/>
        <w:jc w:val="both"/>
        <w:outlineLvl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3.进一步规范项目建设的程序。项目前期做好可行性研究报告，更加细化实施方案，严格执行资金管理办法和财政资金管理制度，严格按照项目实施方案稳步推进工作，各部门单位根据自己项目的特点进行总结。</w:t>
      </w:r>
    </w:p>
    <w:p>
      <w:pPr>
        <w:pageBreakBefore w:val="0"/>
        <w:kinsoku/>
        <w:wordWrap/>
        <w:overflowPunct/>
        <w:topLinePunct w:val="0"/>
        <w:autoSpaceDE/>
        <w:autoSpaceDN/>
        <w:bidi w:val="0"/>
        <w:adjustRightInd/>
        <w:snapToGrid/>
        <w:spacing w:line="540" w:lineRule="exact"/>
        <w:ind w:firstLine="640" w:firstLineChars="200"/>
        <w:jc w:val="both"/>
        <w:outlineLvl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4.进一步完善项目评价过程中有关数据和资料的收集、整理、审核及分析。项目启动时同步做好档案的归纳与整理，及时整理、收集、汇总，健全档案资料。项目后续管理有待进一步加强和跟踪。</w:t>
      </w:r>
    </w:p>
    <w:p>
      <w:pPr>
        <w:pageBreakBefore w:val="0"/>
        <w:kinsoku/>
        <w:wordWrap/>
        <w:overflowPunct/>
        <w:topLinePunct w:val="0"/>
        <w:autoSpaceDE/>
        <w:autoSpaceDN/>
        <w:bidi w:val="0"/>
        <w:adjustRightInd/>
        <w:snapToGrid/>
        <w:spacing w:line="540" w:lineRule="exact"/>
        <w:ind w:firstLine="640" w:firstLineChars="200"/>
        <w:jc w:val="both"/>
        <w:outlineLvl w:val="0"/>
      </w:pPr>
      <w:r>
        <w:rPr>
          <w:rFonts w:hint="default" w:ascii="Times New Roman" w:hAnsi="Times New Roman" w:eastAsia="方正仿宋_GBK" w:cs="Times New Roman"/>
          <w:sz w:val="32"/>
          <w:szCs w:val="32"/>
          <w:lang w:val="en-US" w:eastAsia="zh-CN"/>
        </w:rPr>
        <w:t>5.进一步加强对绩效管理工作的组织领导，提高对预算绩效管理工作重要性的认识，总结经验查找问题，抓紧研究制定更全面更完善的绩效评价管理办法。建立绩效工作考核制度，加大全面实施预算绩效管理和绩效管理工作的学习力度，让“花钱必问效，无效必问责”的理念深入工作每个环节</w:t>
      </w:r>
      <w:r>
        <w:rPr>
          <w:rFonts w:hint="eastAsia" w:ascii="Times New Roman" w:hAnsi="Times New Roman" w:eastAsia="方正仿宋_GBK" w:cs="Times New Roman"/>
          <w:sz w:val="32"/>
          <w:szCs w:val="32"/>
          <w:lang w:val="en-US" w:eastAsia="zh-CN"/>
        </w:rPr>
        <w:t>。</w:t>
      </w:r>
    </w:p>
    <w:p>
      <w:pPr>
        <w:pStyle w:val="3"/>
        <w:spacing w:line="360" w:lineRule="auto"/>
        <w:rPr>
          <w:rFonts w:ascii="宋体" w:hAnsi="宋体" w:eastAsia="宋体"/>
          <w:color w:val="auto"/>
          <w:sz w:val="32"/>
          <w:szCs w:val="32"/>
        </w:rPr>
      </w:pPr>
      <w:bookmarkStart w:id="18" w:name="_Toc68703846"/>
      <w:r>
        <w:rPr>
          <w:rFonts w:hint="eastAsia" w:ascii="宋体" w:hAnsi="宋体" w:eastAsia="宋体"/>
          <w:color w:val="auto"/>
          <w:sz w:val="32"/>
          <w:szCs w:val="32"/>
          <w:lang w:val="en-US" w:eastAsia="zh-CN"/>
        </w:rPr>
        <w:t>八</w:t>
      </w:r>
      <w:r>
        <w:rPr>
          <w:rFonts w:hint="eastAsia" w:ascii="宋体" w:hAnsi="宋体" w:eastAsia="宋体"/>
          <w:color w:val="auto"/>
          <w:sz w:val="32"/>
          <w:szCs w:val="32"/>
        </w:rPr>
        <w:t>、其他需要说明的问题</w:t>
      </w:r>
      <w:bookmarkEnd w:id="18"/>
    </w:p>
    <w:p>
      <w:pPr>
        <w:rPr>
          <w:rFonts w:hint="eastAsia" w:eastAsia="仿宋_GB2312"/>
          <w:color w:val="auto"/>
          <w:lang w:eastAsia="zh-CN"/>
        </w:rPr>
      </w:pPr>
      <w:r>
        <w:rPr>
          <w:rFonts w:hint="eastAsia"/>
          <w:color w:val="auto"/>
          <w:lang w:eastAsia="zh-CN"/>
        </w:rPr>
        <w:t>无。</w:t>
      </w:r>
    </w:p>
    <w:p>
      <w:pPr>
        <w:rPr>
          <w:color w:val="auto"/>
        </w:rPr>
      </w:pPr>
    </w:p>
    <w:sectPr>
      <w:pgSz w:w="11906" w:h="16838"/>
      <w:pgMar w:top="1928" w:right="1531" w:bottom="1701" w:left="1531" w:header="737" w:footer="851" w:gutter="0"/>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altName w:val="黑体"/>
    <w:panose1 w:val="02010601030101010101"/>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9C5"/>
    <w:rsid w:val="00614288"/>
    <w:rsid w:val="007D49C5"/>
    <w:rsid w:val="00801B1E"/>
    <w:rsid w:val="008C631D"/>
    <w:rsid w:val="05EE3286"/>
    <w:rsid w:val="07F122A2"/>
    <w:rsid w:val="0878673B"/>
    <w:rsid w:val="09A21092"/>
    <w:rsid w:val="0F734001"/>
    <w:rsid w:val="0FCC28FE"/>
    <w:rsid w:val="10293A2B"/>
    <w:rsid w:val="14754E4B"/>
    <w:rsid w:val="17334544"/>
    <w:rsid w:val="1A361B5B"/>
    <w:rsid w:val="1F6174A2"/>
    <w:rsid w:val="20CC7B58"/>
    <w:rsid w:val="226C0349"/>
    <w:rsid w:val="239233FD"/>
    <w:rsid w:val="23E170D5"/>
    <w:rsid w:val="25877809"/>
    <w:rsid w:val="273366E2"/>
    <w:rsid w:val="2BD05345"/>
    <w:rsid w:val="2D9C2F40"/>
    <w:rsid w:val="2EEE7925"/>
    <w:rsid w:val="2F037DAA"/>
    <w:rsid w:val="3284042F"/>
    <w:rsid w:val="36271464"/>
    <w:rsid w:val="36B4582E"/>
    <w:rsid w:val="38AF3B6B"/>
    <w:rsid w:val="3A880119"/>
    <w:rsid w:val="3D164F0F"/>
    <w:rsid w:val="3FAC3D18"/>
    <w:rsid w:val="409E3592"/>
    <w:rsid w:val="425371F4"/>
    <w:rsid w:val="43704760"/>
    <w:rsid w:val="43C65069"/>
    <w:rsid w:val="43E34A5B"/>
    <w:rsid w:val="490366A5"/>
    <w:rsid w:val="4C163335"/>
    <w:rsid w:val="513B0F62"/>
    <w:rsid w:val="52940372"/>
    <w:rsid w:val="55BE6A3B"/>
    <w:rsid w:val="571F4944"/>
    <w:rsid w:val="572E78D6"/>
    <w:rsid w:val="579A352D"/>
    <w:rsid w:val="58E604FD"/>
    <w:rsid w:val="59CC023B"/>
    <w:rsid w:val="5A026F07"/>
    <w:rsid w:val="5AAB0E0D"/>
    <w:rsid w:val="5B0F08AD"/>
    <w:rsid w:val="5B92138C"/>
    <w:rsid w:val="5E194F73"/>
    <w:rsid w:val="5E2B0B0E"/>
    <w:rsid w:val="5FBD1ED8"/>
    <w:rsid w:val="60CF795C"/>
    <w:rsid w:val="6342339D"/>
    <w:rsid w:val="637B3592"/>
    <w:rsid w:val="63A628D0"/>
    <w:rsid w:val="65A33B3C"/>
    <w:rsid w:val="67996190"/>
    <w:rsid w:val="67B91EC0"/>
    <w:rsid w:val="67D067D8"/>
    <w:rsid w:val="690E595C"/>
    <w:rsid w:val="69F10AAA"/>
    <w:rsid w:val="6B675F69"/>
    <w:rsid w:val="6B6C5A12"/>
    <w:rsid w:val="6EB22882"/>
    <w:rsid w:val="73E66C46"/>
    <w:rsid w:val="75851595"/>
    <w:rsid w:val="780F3CF9"/>
    <w:rsid w:val="780F4DEE"/>
    <w:rsid w:val="7B96203C"/>
    <w:rsid w:val="7F324826"/>
    <w:rsid w:val="7F4A7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3">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unhideWhenUsed/>
    <w:qFormat/>
    <w:uiPriority w:val="9"/>
    <w:pPr>
      <w:keepNext/>
      <w:keepLines/>
      <w:spacing w:line="520" w:lineRule="exact"/>
      <w:ind w:firstLine="643" w:firstLineChars="200"/>
      <w:outlineLvl w:val="2"/>
    </w:pPr>
    <w:rPr>
      <w:rFonts w:eastAsia="仿宋" w:asciiTheme="minorAscii" w:hAnsiTheme="minorAscii"/>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uiPriority w:val="0"/>
    <w:pPr>
      <w:spacing w:after="120"/>
    </w:pPr>
  </w:style>
  <w:style w:type="paragraph" w:styleId="6">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7">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8">
    <w:name w:val="Title"/>
    <w:basedOn w:val="1"/>
    <w:next w:val="1"/>
    <w:qFormat/>
    <w:uiPriority w:val="10"/>
    <w:pPr>
      <w:widowControl/>
      <w:spacing w:before="240" w:after="60"/>
      <w:jc w:val="center"/>
      <w:outlineLvl w:val="0"/>
    </w:pPr>
    <w:rPr>
      <w:rFonts w:asciiTheme="majorHAnsi" w:hAnsiTheme="majorHAnsi" w:eastAsiaTheme="majorEastAsia"/>
      <w:b/>
      <w:bCs/>
      <w:kern w:val="28"/>
      <w:sz w:val="32"/>
      <w:szCs w:val="32"/>
    </w:rPr>
  </w:style>
  <w:style w:type="paragraph" w:styleId="9">
    <w:name w:val="Body Text First Indent"/>
    <w:basedOn w:val="5"/>
    <w:qFormat/>
    <w:uiPriority w:val="0"/>
    <w:pPr>
      <w:ind w:firstLine="960" w:firstLineChars="200"/>
    </w:pPr>
    <w:rPr>
      <w:rFonts w:ascii="Times New Roman" w:hAnsi="Times New Roman" w:eastAsia="宋体" w:cs="Times New Roman"/>
      <w:szCs w:val="21"/>
    </w:r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customStyle="1" w:styleId="13">
    <w:name w:val="标题 1 字符"/>
    <w:basedOn w:val="11"/>
    <w:link w:val="3"/>
    <w:qFormat/>
    <w:uiPriority w:val="9"/>
    <w:rPr>
      <w:rFonts w:ascii="Times New Roman" w:hAnsi="Times New Roman" w:eastAsia="仿宋_GB2312" w:cs="Times New Roman"/>
      <w:b/>
      <w:bCs/>
      <w:kern w:val="44"/>
      <w:sz w:val="44"/>
      <w:szCs w:val="44"/>
    </w:rPr>
  </w:style>
  <w:style w:type="character" w:customStyle="1" w:styleId="14">
    <w:name w:val="标题 2 字符"/>
    <w:basedOn w:val="11"/>
    <w:link w:val="4"/>
    <w:qFormat/>
    <w:uiPriority w:val="9"/>
    <w:rPr>
      <w:rFonts w:asciiTheme="majorHAnsi" w:hAnsiTheme="majorHAnsi" w:eastAsiaTheme="majorEastAsia" w:cstheme="majorBidi"/>
      <w:b/>
      <w:bCs/>
      <w:sz w:val="32"/>
      <w:szCs w:val="32"/>
    </w:rPr>
  </w:style>
  <w:style w:type="paragraph" w:customStyle="1" w:styleId="15">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1037</Words>
  <Characters>5913</Characters>
  <Lines>49</Lines>
  <Paragraphs>13</Paragraphs>
  <TotalTime>2</TotalTime>
  <ScaleCrop>false</ScaleCrop>
  <LinksUpToDate>false</LinksUpToDate>
  <CharactersWithSpaces>6937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2021-04-07T08:01:00Z</dcterms:created>
  <dc:creator>翘楚</dc:creator>
  <cp:lastModifiedBy>Administrator</cp:lastModifiedBy>
  <cp:lastPrinted>2023-03-18T10:39:00Z</cp:lastPrinted>
  <dcterms:modified xsi:type="dcterms:W3CDTF">2015-01-21T17:02:05Z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66774D411AD148928F5CB87A18A0E072</vt:lpwstr>
  </property>
</Properties>
</file>