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Arial"/>
          <w:b/>
          <w:bCs/>
          <w:color w:val="auto"/>
          <w:sz w:val="48"/>
          <w:szCs w:val="48"/>
        </w:rPr>
      </w:pPr>
    </w:p>
    <w:p>
      <w:pPr>
        <w:jc w:val="center"/>
        <w:rPr>
          <w:rFonts w:ascii="宋体" w:hAnsi="宋体" w:eastAsia="宋体" w:cs="Arial"/>
          <w:b/>
          <w:bCs/>
          <w:color w:val="auto"/>
          <w:sz w:val="48"/>
          <w:szCs w:val="48"/>
        </w:rPr>
      </w:pPr>
    </w:p>
    <w:p>
      <w:pPr>
        <w:jc w:val="center"/>
        <w:rPr>
          <w:rFonts w:ascii="宋体" w:hAnsi="宋体" w:eastAsia="宋体" w:cs="Arial"/>
          <w:b/>
          <w:bCs/>
          <w:color w:val="auto"/>
          <w:sz w:val="48"/>
          <w:szCs w:val="48"/>
        </w:rPr>
      </w:pPr>
    </w:p>
    <w:p>
      <w:pPr>
        <w:jc w:val="center"/>
        <w:rPr>
          <w:rFonts w:ascii="宋体" w:hAnsi="宋体" w:eastAsia="宋体" w:cs="Arial"/>
          <w:b/>
          <w:bCs/>
          <w:color w:val="auto"/>
          <w:sz w:val="52"/>
          <w:szCs w:val="52"/>
        </w:rPr>
      </w:pPr>
      <w:r>
        <w:rPr>
          <w:rFonts w:hint="eastAsia" w:ascii="宋体" w:hAnsi="宋体" w:eastAsia="宋体" w:cs="Arial"/>
          <w:b/>
          <w:bCs/>
          <w:color w:val="auto"/>
          <w:sz w:val="52"/>
          <w:szCs w:val="52"/>
          <w:lang w:eastAsia="zh-CN"/>
        </w:rPr>
        <w:t>城乡义务教育补助经费</w:t>
      </w:r>
      <w:r>
        <w:rPr>
          <w:rFonts w:hint="eastAsia" w:ascii="宋体" w:hAnsi="宋体" w:eastAsia="宋体" w:cs="Arial"/>
          <w:b/>
          <w:bCs/>
          <w:color w:val="auto"/>
          <w:sz w:val="52"/>
          <w:szCs w:val="52"/>
        </w:rPr>
        <w:t>项目支出绩效评价报告</w:t>
      </w:r>
    </w:p>
    <w:p>
      <w:pPr>
        <w:jc w:val="center"/>
        <w:rPr>
          <w:rFonts w:ascii="宋体" w:hAnsi="宋体" w:eastAsia="宋体" w:cs="Arial"/>
          <w:b/>
          <w:bCs/>
          <w:color w:val="auto"/>
          <w:sz w:val="48"/>
          <w:szCs w:val="48"/>
        </w:rPr>
      </w:pPr>
    </w:p>
    <w:p>
      <w:pPr>
        <w:widowControl/>
        <w:spacing w:line="560" w:lineRule="exact"/>
        <w:jc w:val="center"/>
        <w:rPr>
          <w:rFonts w:ascii="仿宋_GB2312" w:hAnsi="仿宋_GB2312" w:cs="仿宋_GB2312"/>
          <w:b/>
          <w:color w:val="auto"/>
          <w:kern w:val="0"/>
          <w:sz w:val="50"/>
          <w:szCs w:val="50"/>
          <w:lang w:bidi="en-US"/>
        </w:rPr>
      </w:pPr>
      <w:r>
        <w:rPr>
          <w:rFonts w:hint="eastAsia" w:ascii="方正小标宋简体" w:hAnsi="方正小标宋简体" w:eastAsia="方正小标宋简体" w:cs="方正小标宋简体"/>
          <w:color w:val="auto"/>
          <w:kern w:val="0"/>
          <w:sz w:val="36"/>
          <w:szCs w:val="36"/>
        </w:rPr>
        <w:t>（</w:t>
      </w:r>
      <w:r>
        <w:rPr>
          <w:rFonts w:hint="eastAsia" w:ascii="方正小标宋简体" w:hAnsi="方正小标宋简体" w:eastAsia="方正小标宋简体" w:cs="方正小标宋简体"/>
          <w:color w:val="auto"/>
          <w:kern w:val="0"/>
          <w:sz w:val="36"/>
          <w:szCs w:val="36"/>
          <w:lang w:val="en-US" w:eastAsia="zh-CN"/>
        </w:rPr>
        <w:t>2023</w:t>
      </w:r>
      <w:r>
        <w:rPr>
          <w:rFonts w:hint="eastAsia" w:ascii="方正小标宋简体" w:hAnsi="方正小标宋简体" w:eastAsia="方正小标宋简体" w:cs="方正小标宋简体"/>
          <w:color w:val="auto"/>
          <w:kern w:val="0"/>
          <w:sz w:val="36"/>
          <w:szCs w:val="36"/>
        </w:rPr>
        <w:t>年度）</w:t>
      </w:r>
    </w:p>
    <w:p>
      <w:pPr>
        <w:spacing w:line="480" w:lineRule="auto"/>
        <w:jc w:val="center"/>
        <w:rPr>
          <w:rFonts w:ascii="仿宋_GB2312" w:hAnsi="仿宋_GB2312" w:cs="仿宋_GB2312"/>
          <w:b/>
          <w:color w:val="auto"/>
          <w:kern w:val="0"/>
          <w:sz w:val="50"/>
          <w:szCs w:val="50"/>
          <w:lang w:bidi="en-US"/>
        </w:rPr>
      </w:pPr>
    </w:p>
    <w:p>
      <w:pPr>
        <w:spacing w:line="480" w:lineRule="auto"/>
        <w:jc w:val="center"/>
        <w:rPr>
          <w:rFonts w:ascii="仿宋_GB2312" w:hAnsi="仿宋_GB2312" w:cs="仿宋_GB2312"/>
          <w:b/>
          <w:color w:val="auto"/>
          <w:kern w:val="0"/>
          <w:sz w:val="50"/>
          <w:szCs w:val="50"/>
          <w:lang w:bidi="en-US"/>
        </w:rPr>
      </w:pPr>
    </w:p>
    <w:p>
      <w:pPr>
        <w:spacing w:line="480" w:lineRule="auto"/>
        <w:jc w:val="center"/>
        <w:rPr>
          <w:rFonts w:ascii="仿宋_GB2312" w:hAnsi="仿宋_GB2312" w:cs="仿宋_GB2312"/>
          <w:b/>
          <w:color w:val="auto"/>
          <w:kern w:val="0"/>
          <w:sz w:val="50"/>
          <w:szCs w:val="50"/>
          <w:lang w:bidi="en-US"/>
        </w:rPr>
      </w:pPr>
    </w:p>
    <w:p>
      <w:pPr>
        <w:spacing w:line="480" w:lineRule="auto"/>
        <w:jc w:val="center"/>
        <w:rPr>
          <w:rFonts w:ascii="仿宋_GB2312" w:hAnsi="仿宋_GB2312" w:cs="仿宋_GB2312"/>
          <w:b/>
          <w:color w:val="auto"/>
          <w:kern w:val="0"/>
          <w:sz w:val="50"/>
          <w:szCs w:val="50"/>
          <w:lang w:bidi="en-US"/>
        </w:rPr>
      </w:pPr>
    </w:p>
    <w:p>
      <w:pPr>
        <w:spacing w:line="480" w:lineRule="auto"/>
        <w:jc w:val="center"/>
        <w:rPr>
          <w:rFonts w:ascii="仿宋_GB2312" w:hAnsi="仿宋_GB2312" w:cs="仿宋_GB2312"/>
          <w:b/>
          <w:color w:val="auto"/>
          <w:kern w:val="0"/>
          <w:sz w:val="50"/>
          <w:szCs w:val="50"/>
          <w:lang w:bidi="en-US"/>
        </w:rPr>
      </w:pPr>
    </w:p>
    <w:p>
      <w:pPr>
        <w:spacing w:line="560" w:lineRule="exact"/>
        <w:ind w:firstLine="321" w:firstLineChars="100"/>
        <w:rPr>
          <w:rFonts w:hint="eastAsia" w:ascii="宋体" w:hAnsi="宋体" w:eastAsia="宋体" w:cs="仿宋_GB2312"/>
          <w:b/>
          <w:bCs/>
          <w:color w:val="auto"/>
          <w:kern w:val="0"/>
          <w:sz w:val="32"/>
          <w:szCs w:val="32"/>
          <w:lang w:eastAsia="zh-CN"/>
        </w:rPr>
      </w:pPr>
      <w:r>
        <w:rPr>
          <w:rFonts w:hint="eastAsia" w:ascii="宋体" w:hAnsi="宋体" w:eastAsia="宋体" w:cs="仿宋_GB2312"/>
          <w:b/>
          <w:bCs/>
          <w:color w:val="auto"/>
          <w:kern w:val="0"/>
          <w:sz w:val="32"/>
          <w:szCs w:val="32"/>
        </w:rPr>
        <w:t>项目名称：</w:t>
      </w:r>
      <w:r>
        <w:rPr>
          <w:rFonts w:hint="eastAsia" w:ascii="宋体" w:hAnsi="宋体" w:eastAsia="宋体" w:cs="仿宋_GB2312"/>
          <w:b/>
          <w:bCs/>
          <w:color w:val="auto"/>
          <w:kern w:val="0"/>
          <w:sz w:val="32"/>
          <w:szCs w:val="32"/>
          <w:lang w:eastAsia="zh-CN"/>
        </w:rPr>
        <w:t>城乡义务教育补助经费</w:t>
      </w:r>
    </w:p>
    <w:p>
      <w:pPr>
        <w:spacing w:line="560" w:lineRule="exact"/>
        <w:ind w:firstLine="321" w:firstLineChars="100"/>
        <w:rPr>
          <w:rFonts w:hint="eastAsia" w:ascii="宋体" w:hAnsi="宋体" w:eastAsia="宋体" w:cs="仿宋_GB2312"/>
          <w:b/>
          <w:bCs/>
          <w:color w:val="auto"/>
          <w:kern w:val="0"/>
          <w:sz w:val="32"/>
          <w:szCs w:val="32"/>
          <w:lang w:val="en-US" w:eastAsia="zh-CN"/>
        </w:rPr>
      </w:pPr>
      <w:r>
        <w:rPr>
          <w:rFonts w:hint="eastAsia" w:ascii="宋体" w:hAnsi="宋体" w:eastAsia="宋体" w:cs="仿宋_GB2312"/>
          <w:b/>
          <w:bCs/>
          <w:color w:val="auto"/>
          <w:kern w:val="0"/>
          <w:sz w:val="32"/>
          <w:szCs w:val="32"/>
          <w:lang w:eastAsia="zh-CN"/>
        </w:rPr>
        <w:t>实施单位（公章）：且末县教育和科学技术局</w:t>
      </w:r>
    </w:p>
    <w:p>
      <w:pPr>
        <w:spacing w:line="560" w:lineRule="exact"/>
        <w:ind w:firstLine="321" w:firstLineChars="100"/>
        <w:rPr>
          <w:rFonts w:hint="eastAsia" w:ascii="宋体" w:hAnsi="宋体" w:eastAsia="宋体" w:cs="仿宋_GB2312"/>
          <w:b/>
          <w:bCs/>
          <w:color w:val="auto"/>
          <w:kern w:val="0"/>
          <w:sz w:val="32"/>
          <w:szCs w:val="32"/>
          <w:lang w:eastAsia="zh-CN"/>
        </w:rPr>
      </w:pPr>
      <w:r>
        <w:rPr>
          <w:rFonts w:hint="eastAsia" w:ascii="宋体" w:hAnsi="宋体" w:eastAsia="宋体" w:cs="仿宋_GB2312"/>
          <w:b/>
          <w:bCs/>
          <w:color w:val="auto"/>
          <w:kern w:val="0"/>
          <w:sz w:val="32"/>
          <w:szCs w:val="32"/>
          <w:lang w:eastAsia="zh-CN"/>
        </w:rPr>
        <w:t>主管部门（公章）：且末县教育和科学技术局</w:t>
      </w:r>
    </w:p>
    <w:p>
      <w:pPr>
        <w:spacing w:line="560" w:lineRule="exact"/>
        <w:ind w:firstLine="321" w:firstLineChars="100"/>
        <w:rPr>
          <w:rFonts w:hint="eastAsia" w:ascii="宋体" w:hAnsi="宋体" w:eastAsia="宋体" w:cs="仿宋_GB2312"/>
          <w:b/>
          <w:bCs/>
          <w:color w:val="auto"/>
          <w:kern w:val="0"/>
          <w:sz w:val="32"/>
          <w:szCs w:val="32"/>
          <w:lang w:eastAsia="zh-CN"/>
        </w:rPr>
      </w:pPr>
      <w:r>
        <w:rPr>
          <w:rFonts w:hint="eastAsia" w:ascii="宋体" w:hAnsi="宋体" w:eastAsia="宋体" w:cs="仿宋_GB2312"/>
          <w:b/>
          <w:bCs/>
          <w:color w:val="auto"/>
          <w:kern w:val="0"/>
          <w:sz w:val="32"/>
          <w:szCs w:val="32"/>
          <w:lang w:eastAsia="zh-CN"/>
        </w:rPr>
        <w:t>项目负责人（签章）：白冰</w:t>
      </w:r>
    </w:p>
    <w:p>
      <w:pPr>
        <w:spacing w:line="560" w:lineRule="exact"/>
        <w:ind w:firstLine="321" w:firstLineChars="100"/>
        <w:rPr>
          <w:rFonts w:hint="eastAsia" w:ascii="宋体" w:hAnsi="宋体" w:eastAsia="宋体" w:cs="仿宋_GB2312"/>
          <w:b/>
          <w:bCs/>
          <w:color w:val="auto"/>
          <w:kern w:val="0"/>
          <w:sz w:val="32"/>
          <w:szCs w:val="32"/>
          <w:lang w:eastAsia="zh-CN"/>
        </w:rPr>
      </w:pPr>
      <w:r>
        <w:rPr>
          <w:rFonts w:hint="eastAsia" w:ascii="宋体" w:hAnsi="宋体" w:eastAsia="宋体" w:cs="仿宋_GB2312"/>
          <w:b/>
          <w:bCs/>
          <w:color w:val="auto"/>
          <w:kern w:val="0"/>
          <w:sz w:val="32"/>
          <w:szCs w:val="32"/>
          <w:lang w:eastAsia="zh-CN"/>
        </w:rPr>
        <w:t>填报时间：</w:t>
      </w:r>
      <w:r>
        <w:rPr>
          <w:rFonts w:hint="eastAsia" w:ascii="宋体" w:hAnsi="宋体" w:eastAsia="宋体" w:cs="仿宋_GB2312"/>
          <w:b/>
          <w:bCs/>
          <w:color w:val="auto"/>
          <w:kern w:val="0"/>
          <w:sz w:val="32"/>
          <w:szCs w:val="32"/>
          <w:lang w:val="en-US" w:eastAsia="zh-CN"/>
        </w:rPr>
        <w:t>2024</w:t>
      </w:r>
      <w:r>
        <w:rPr>
          <w:rFonts w:hint="eastAsia" w:ascii="宋体" w:hAnsi="宋体" w:eastAsia="宋体" w:cs="仿宋_GB2312"/>
          <w:b/>
          <w:bCs/>
          <w:color w:val="auto"/>
          <w:kern w:val="0"/>
          <w:sz w:val="32"/>
          <w:szCs w:val="32"/>
          <w:lang w:eastAsia="zh-CN"/>
        </w:rPr>
        <w:t>年</w:t>
      </w:r>
      <w:r>
        <w:rPr>
          <w:rFonts w:hint="eastAsia" w:ascii="宋体" w:hAnsi="宋体" w:eastAsia="宋体" w:cs="仿宋_GB2312"/>
          <w:b/>
          <w:bCs/>
          <w:color w:val="auto"/>
          <w:kern w:val="0"/>
          <w:sz w:val="32"/>
          <w:szCs w:val="32"/>
          <w:lang w:val="en-US" w:eastAsia="zh-CN"/>
        </w:rPr>
        <w:t>5</w:t>
      </w:r>
      <w:r>
        <w:rPr>
          <w:rFonts w:hint="eastAsia" w:ascii="宋体" w:hAnsi="宋体" w:eastAsia="宋体" w:cs="仿宋_GB2312"/>
          <w:b/>
          <w:bCs/>
          <w:color w:val="auto"/>
          <w:kern w:val="0"/>
          <w:sz w:val="32"/>
          <w:szCs w:val="32"/>
          <w:lang w:eastAsia="zh-CN"/>
        </w:rPr>
        <w:t>月</w:t>
      </w:r>
      <w:r>
        <w:rPr>
          <w:rFonts w:hint="eastAsia" w:ascii="宋体" w:hAnsi="宋体" w:eastAsia="宋体" w:cs="仿宋_GB2312"/>
          <w:b/>
          <w:bCs/>
          <w:color w:val="auto"/>
          <w:kern w:val="0"/>
          <w:sz w:val="32"/>
          <w:szCs w:val="32"/>
          <w:lang w:val="en-US" w:eastAsia="zh-CN"/>
        </w:rPr>
        <w:t>5</w:t>
      </w:r>
      <w:r>
        <w:rPr>
          <w:rFonts w:hint="eastAsia" w:ascii="宋体" w:hAnsi="宋体" w:eastAsia="宋体" w:cs="仿宋_GB2312"/>
          <w:b/>
          <w:bCs/>
          <w:color w:val="auto"/>
          <w:kern w:val="0"/>
          <w:sz w:val="32"/>
          <w:szCs w:val="32"/>
          <w:lang w:eastAsia="zh-CN"/>
        </w:rPr>
        <w:t>日</w:t>
      </w:r>
    </w:p>
    <w:p>
      <w:pPr>
        <w:jc w:val="center"/>
        <w:rPr>
          <w:rFonts w:ascii="宋体" w:hAnsi="宋体" w:eastAsia="宋体" w:cs="Arial"/>
          <w:b/>
          <w:bCs/>
          <w:color w:val="auto"/>
          <w:sz w:val="36"/>
          <w:szCs w:val="36"/>
        </w:rPr>
      </w:pPr>
    </w:p>
    <w:p>
      <w:pPr>
        <w:widowControl/>
        <w:jc w:val="left"/>
        <w:rPr>
          <w:rFonts w:ascii="宋体" w:hAnsi="宋体" w:eastAsia="宋体" w:cs="Arial"/>
          <w:b/>
          <w:bCs/>
          <w:color w:val="auto"/>
          <w:sz w:val="36"/>
          <w:szCs w:val="36"/>
        </w:rPr>
      </w:pPr>
      <w:r>
        <w:rPr>
          <w:rFonts w:ascii="宋体" w:hAnsi="宋体" w:eastAsia="宋体" w:cs="Arial"/>
          <w:b/>
          <w:bCs/>
          <w:color w:val="auto"/>
          <w:sz w:val="36"/>
          <w:szCs w:val="36"/>
        </w:rPr>
        <w:br w:type="page"/>
      </w:r>
    </w:p>
    <w:p>
      <w:pPr>
        <w:jc w:val="center"/>
        <w:rPr>
          <w:rFonts w:ascii="Arial" w:hAnsi="Arial" w:eastAsia="宋体" w:cs="Arial"/>
          <w:b/>
          <w:bCs/>
          <w:color w:val="auto"/>
          <w:sz w:val="36"/>
          <w:szCs w:val="36"/>
        </w:rPr>
      </w:pPr>
      <w:r>
        <w:rPr>
          <w:rFonts w:hint="eastAsia" w:ascii="宋体" w:hAnsi="宋体" w:eastAsia="宋体" w:cs="Arial"/>
          <w:b/>
          <w:bCs/>
          <w:color w:val="auto"/>
          <w:sz w:val="36"/>
          <w:szCs w:val="36"/>
        </w:rPr>
        <w:t>项目支出</w:t>
      </w:r>
      <w:r>
        <w:rPr>
          <w:rFonts w:ascii="宋体" w:hAnsi="宋体" w:eastAsia="宋体" w:cs="Arial"/>
          <w:b/>
          <w:bCs/>
          <w:color w:val="auto"/>
          <w:sz w:val="36"/>
          <w:szCs w:val="36"/>
        </w:rPr>
        <w:t>绩效</w:t>
      </w:r>
      <w:r>
        <w:rPr>
          <w:rFonts w:hint="eastAsia" w:ascii="宋体" w:hAnsi="宋体" w:eastAsia="宋体" w:cs="Arial"/>
          <w:b/>
          <w:bCs/>
          <w:color w:val="auto"/>
          <w:sz w:val="36"/>
          <w:szCs w:val="36"/>
        </w:rPr>
        <w:t>评价报告</w:t>
      </w:r>
    </w:p>
    <w:p>
      <w:pPr>
        <w:jc w:val="center"/>
        <w:rPr>
          <w:rFonts w:ascii="仿宋_GB2312"/>
          <w:color w:val="auto"/>
        </w:rPr>
      </w:pPr>
    </w:p>
    <w:p>
      <w:pPr>
        <w:jc w:val="center"/>
        <w:rPr>
          <w:rFonts w:ascii="仿宋_GB2312"/>
          <w:color w:val="auto"/>
          <w:szCs w:val="30"/>
        </w:rPr>
      </w:pPr>
    </w:p>
    <w:p>
      <w:pPr>
        <w:pStyle w:val="3"/>
        <w:spacing w:line="360" w:lineRule="auto"/>
        <w:rPr>
          <w:rFonts w:ascii="宋体" w:hAnsi="宋体" w:eastAsia="宋体"/>
          <w:color w:val="auto"/>
          <w:sz w:val="32"/>
          <w:szCs w:val="32"/>
        </w:rPr>
      </w:pPr>
      <w:bookmarkStart w:id="0" w:name="_Toc68703827"/>
      <w:r>
        <w:rPr>
          <w:rFonts w:hint="eastAsia" w:ascii="宋体" w:hAnsi="宋体" w:eastAsia="宋体"/>
          <w:color w:val="auto"/>
          <w:sz w:val="32"/>
          <w:szCs w:val="32"/>
        </w:rPr>
        <w:t>一、基本情况</w:t>
      </w:r>
      <w:bookmarkEnd w:id="0"/>
    </w:p>
    <w:p>
      <w:pPr>
        <w:spacing w:line="360" w:lineRule="auto"/>
        <w:ind w:firstLine="600" w:firstLineChars="200"/>
        <w:rPr>
          <w:rFonts w:hint="eastAsia" w:ascii="仿宋_GB2312" w:hAnsi="Times New Roman" w:cs="Times New Roman"/>
          <w:color w:val="auto"/>
        </w:rPr>
      </w:pPr>
      <w:bookmarkStart w:id="1" w:name="_Toc68703828"/>
      <w:r>
        <w:rPr>
          <w:rFonts w:hint="eastAsia" w:ascii="仿宋_GB2312" w:eastAsia="仿宋_GB2312"/>
          <w:b w:val="0"/>
          <w:bCs w:val="0"/>
          <w:color w:val="auto"/>
        </w:rPr>
        <w:t>（一）项目概况。</w:t>
      </w:r>
      <w:bookmarkEnd w:id="1"/>
    </w:p>
    <w:p>
      <w:pPr>
        <w:spacing w:line="360" w:lineRule="auto"/>
        <w:ind w:firstLine="600" w:firstLineChars="200"/>
        <w:rPr>
          <w:rFonts w:ascii="仿宋_GB2312"/>
          <w:color w:val="auto"/>
        </w:rPr>
      </w:pPr>
      <w:r>
        <w:rPr>
          <w:rFonts w:hint="eastAsia" w:ascii="仿宋_GB2312"/>
          <w:color w:val="auto"/>
        </w:rPr>
        <w:t>1、项目背景</w:t>
      </w:r>
    </w:p>
    <w:p>
      <w:pPr>
        <w:spacing w:line="360" w:lineRule="auto"/>
        <w:ind w:firstLine="600" w:firstLineChars="200"/>
        <w:rPr>
          <w:rFonts w:hint="eastAsia" w:ascii="仿宋_GB2312" w:hAnsi="Times New Roman" w:cs="Times New Roman"/>
          <w:color w:val="auto"/>
          <w:lang w:val="en-US" w:eastAsia="zh-CN"/>
        </w:rPr>
      </w:pPr>
      <w:r>
        <w:rPr>
          <w:rFonts w:hint="eastAsia" w:ascii="仿宋_GB2312" w:hAnsi="Times New Roman" w:cs="Times New Roman"/>
          <w:color w:val="auto"/>
          <w:lang w:eastAsia="zh-CN"/>
        </w:rPr>
        <w:t>为进一步推进义务教育健康持续发展，切实解决家庭经济困难学生就学，确保国家资助政策落实到位，落实城乡统一、重在农村的义务教育经费保障机制实施农村义务教育学校教师特设岗位计划；进一步加强我县教师队伍管理，稳定教师队伍，提升教师素质，不断推进教育均衡发展，增强教师队伍整体实力，完成全县2841名初中生自治区公用经费的补助，8451名小学生自治区公用经费的补助，全县1270名初中学生家庭经济困难学生补助，1052名小学生家庭经济困难学生补助，拨款金额964.14万元，支付金额778.342716万元</w:t>
      </w:r>
    </w:p>
    <w:p>
      <w:pPr>
        <w:spacing w:line="360" w:lineRule="auto"/>
        <w:ind w:firstLine="600" w:firstLineChars="200"/>
        <w:rPr>
          <w:rFonts w:ascii="仿宋_GB2312"/>
          <w:color w:val="auto"/>
        </w:rPr>
      </w:pPr>
      <w:r>
        <w:rPr>
          <w:rFonts w:hint="eastAsia" w:ascii="仿宋_GB2312"/>
          <w:color w:val="auto"/>
        </w:rPr>
        <w:t>2、主要内容</w:t>
      </w:r>
      <w:r>
        <w:rPr>
          <w:rFonts w:hint="eastAsia"/>
          <w:color w:val="auto"/>
        </w:rPr>
        <w:t>及</w:t>
      </w:r>
      <w:r>
        <w:rPr>
          <w:rFonts w:hint="eastAsia" w:ascii="仿宋_GB2312"/>
          <w:color w:val="auto"/>
        </w:rPr>
        <w:t>实施情况</w:t>
      </w:r>
    </w:p>
    <w:p>
      <w:pPr>
        <w:spacing w:line="360" w:lineRule="auto"/>
        <w:ind w:firstLine="600" w:firstLineChars="200"/>
        <w:rPr>
          <w:rFonts w:hint="eastAsia" w:ascii="仿宋_GB2312" w:eastAsia="仿宋_GB2312"/>
          <w:color w:val="auto"/>
          <w:lang w:eastAsia="zh-CN"/>
        </w:rPr>
      </w:pPr>
      <w:r>
        <w:rPr>
          <w:rFonts w:hint="eastAsia" w:ascii="仿宋_GB2312"/>
          <w:color w:val="auto"/>
        </w:rPr>
        <w:t>主要内容：</w:t>
      </w:r>
      <w:r>
        <w:rPr>
          <w:rFonts w:hint="eastAsia" w:ascii="仿宋_GB2312"/>
          <w:color w:val="auto"/>
          <w:lang w:eastAsia="zh-CN"/>
        </w:rPr>
        <w:t>此项目为享受免费教科书政策的学生比例是多少，家庭经济困难学生享受生活补助政策比例，农村学校校舍日常维修改造质量达标率，减轻学生家庭经济负担。</w:t>
      </w:r>
    </w:p>
    <w:p>
      <w:pPr>
        <w:spacing w:line="360" w:lineRule="auto"/>
        <w:ind w:firstLine="600" w:firstLineChars="200"/>
        <w:rPr>
          <w:rFonts w:ascii="仿宋_GB2312"/>
          <w:color w:val="auto"/>
        </w:rPr>
      </w:pPr>
      <w:r>
        <w:rPr>
          <w:rFonts w:hint="eastAsia" w:ascii="仿宋_GB2312"/>
          <w:color w:val="auto"/>
        </w:rPr>
        <w:t>实施情况：</w:t>
      </w:r>
      <w:r>
        <w:rPr>
          <w:rFonts w:hint="eastAsia" w:ascii="仿宋_GB2312"/>
          <w:color w:val="auto"/>
          <w:lang w:eastAsia="zh-CN"/>
        </w:rPr>
        <w:t>此项目为享受免费教科书政策的学生比例为义务教育段全部学生，完成此项指标，家庭经济困难学生享受生活补助政策比例，</w:t>
      </w:r>
      <w:r>
        <w:rPr>
          <w:rFonts w:hint="eastAsia" w:ascii="仿宋_GB2312"/>
          <w:color w:val="auto"/>
          <w:lang w:val="en-US" w:eastAsia="zh-CN"/>
        </w:rPr>
        <w:t>2023年家庭经济困难学生补助拨付180.57万元，支付117.67万元，此项指标未完成。</w:t>
      </w:r>
      <w:r>
        <w:rPr>
          <w:rFonts w:hint="eastAsia" w:ascii="仿宋_GB2312"/>
          <w:color w:val="auto"/>
          <w:lang w:eastAsia="zh-CN"/>
        </w:rPr>
        <w:t>农村学校校舍日常维修改造质量达标率，公用经费保障学校日常维修及改造，完成此项指标。减轻学生家庭经济负担，家庭经济困难学生分为寄宿生生活补助及非寄宿生生活补助，幼小减轻学生家庭经济困难。</w:t>
      </w:r>
    </w:p>
    <w:p>
      <w:pPr>
        <w:spacing w:line="360" w:lineRule="auto"/>
        <w:ind w:firstLine="600" w:firstLineChars="200"/>
        <w:rPr>
          <w:rFonts w:ascii="仿宋_GB2312"/>
          <w:color w:val="auto"/>
        </w:rPr>
      </w:pPr>
      <w:r>
        <w:rPr>
          <w:rFonts w:ascii="仿宋_GB2312"/>
          <w:color w:val="auto"/>
        </w:rPr>
        <w:t>4</w:t>
      </w:r>
      <w:r>
        <w:rPr>
          <w:rFonts w:hint="eastAsia" w:ascii="仿宋_GB2312"/>
          <w:color w:val="auto"/>
        </w:rPr>
        <w:t>、资金投入和使用情况</w:t>
      </w:r>
    </w:p>
    <w:p>
      <w:pPr>
        <w:spacing w:line="360" w:lineRule="auto"/>
        <w:ind w:firstLine="600" w:firstLineChars="200"/>
        <w:rPr>
          <w:color w:val="auto"/>
        </w:rPr>
      </w:pPr>
      <w:r>
        <w:rPr>
          <w:rFonts w:hint="eastAsia"/>
          <w:color w:val="auto"/>
        </w:rPr>
        <w:t>资金投入情况：该项目年初预算数</w:t>
      </w:r>
      <w:r>
        <w:rPr>
          <w:rFonts w:hint="eastAsia"/>
          <w:color w:val="auto"/>
          <w:lang w:val="en-US" w:eastAsia="zh-CN"/>
        </w:rPr>
        <w:t>964.14</w:t>
      </w:r>
      <w:r>
        <w:rPr>
          <w:rFonts w:hint="eastAsia"/>
          <w:color w:val="auto"/>
        </w:rPr>
        <w:t>万元，全年预算数</w:t>
      </w:r>
      <w:r>
        <w:rPr>
          <w:rFonts w:hint="eastAsia"/>
          <w:color w:val="auto"/>
          <w:lang w:val="en-US" w:eastAsia="zh-CN"/>
        </w:rPr>
        <w:t>964.14</w:t>
      </w:r>
      <w:r>
        <w:rPr>
          <w:rFonts w:hint="eastAsia"/>
          <w:color w:val="auto"/>
        </w:rPr>
        <w:t>万元，实际总投入</w:t>
      </w:r>
      <w:r>
        <w:rPr>
          <w:rFonts w:hint="eastAsia"/>
          <w:color w:val="auto"/>
          <w:lang w:val="en-US" w:eastAsia="zh-CN"/>
        </w:rPr>
        <w:t>964.14</w:t>
      </w:r>
      <w:r>
        <w:rPr>
          <w:rFonts w:hint="eastAsia"/>
          <w:color w:val="auto"/>
        </w:rPr>
        <w:t>万元，该项目资金已全部落实到位</w:t>
      </w:r>
      <w:r>
        <w:rPr>
          <w:rFonts w:hint="eastAsia"/>
          <w:color w:val="auto"/>
          <w:lang w:val="en-US" w:eastAsia="zh-CN"/>
        </w:rPr>
        <w:t>964.14</w:t>
      </w:r>
      <w:r>
        <w:rPr>
          <w:rFonts w:hint="eastAsia"/>
          <w:color w:val="auto"/>
        </w:rPr>
        <w:t>万元，资金来源为2023年城乡义务教育补助经费预算[中央直达资金]。</w:t>
      </w:r>
    </w:p>
    <w:p>
      <w:pPr>
        <w:spacing w:line="360" w:lineRule="auto"/>
        <w:ind w:firstLine="600" w:firstLineChars="200"/>
        <w:rPr>
          <w:color w:val="auto"/>
        </w:rPr>
      </w:pPr>
      <w:r>
        <w:rPr>
          <w:rFonts w:hint="eastAsia"/>
          <w:color w:val="auto"/>
        </w:rPr>
        <w:t>资金使用情况：该项目年初预算数</w:t>
      </w:r>
      <w:r>
        <w:rPr>
          <w:rFonts w:hint="eastAsia"/>
          <w:color w:val="auto"/>
          <w:lang w:val="en-US" w:eastAsia="zh-CN"/>
        </w:rPr>
        <w:t>964.14</w:t>
      </w:r>
      <w:r>
        <w:rPr>
          <w:rFonts w:hint="eastAsia"/>
          <w:color w:val="auto"/>
        </w:rPr>
        <w:t>万元，全年预算数</w:t>
      </w:r>
      <w:r>
        <w:rPr>
          <w:rFonts w:hint="eastAsia"/>
          <w:color w:val="auto"/>
          <w:lang w:val="en-US" w:eastAsia="zh-CN"/>
        </w:rPr>
        <w:t>964.14</w:t>
      </w:r>
      <w:r>
        <w:rPr>
          <w:rFonts w:hint="eastAsia"/>
          <w:color w:val="auto"/>
        </w:rPr>
        <w:t>万元，全年执行数</w:t>
      </w:r>
      <w:r>
        <w:rPr>
          <w:rFonts w:hint="eastAsia"/>
          <w:color w:val="auto"/>
          <w:lang w:val="en-US" w:eastAsia="zh-CN"/>
        </w:rPr>
        <w:t>778.34</w:t>
      </w:r>
      <w:r>
        <w:rPr>
          <w:rFonts w:hint="eastAsia"/>
          <w:color w:val="auto"/>
        </w:rPr>
        <w:t>万元，预算执行率为</w:t>
      </w:r>
      <w:r>
        <w:rPr>
          <w:rFonts w:hint="eastAsia"/>
          <w:color w:val="auto"/>
          <w:lang w:val="en-US" w:eastAsia="zh-CN"/>
        </w:rPr>
        <w:t>80.73</w:t>
      </w:r>
      <w:r>
        <w:rPr>
          <w:rFonts w:hint="eastAsia"/>
          <w:color w:val="auto"/>
        </w:rPr>
        <w:t>%（预算执行率=全年执行数/全年预算数），用于：</w:t>
      </w:r>
      <w:r>
        <w:rPr>
          <w:rFonts w:hint="eastAsia"/>
          <w:color w:val="auto"/>
          <w:lang w:val="en-US" w:eastAsia="zh-CN"/>
        </w:rPr>
        <w:t>0</w:t>
      </w:r>
      <w:r>
        <w:rPr>
          <w:rFonts w:hint="eastAsia"/>
          <w:color w:val="auto"/>
        </w:rPr>
        <w:t>万元。</w:t>
      </w:r>
    </w:p>
    <w:p>
      <w:pPr>
        <w:pStyle w:val="4"/>
        <w:spacing w:line="360" w:lineRule="auto"/>
        <w:ind w:firstLine="640" w:firstLineChars="200"/>
        <w:rPr>
          <w:color w:val="auto"/>
        </w:rPr>
      </w:pPr>
      <w:bookmarkStart w:id="2" w:name="_Toc68703829"/>
      <w:r>
        <w:rPr>
          <w:rFonts w:hint="eastAsia" w:ascii="仿宋_GB2312" w:eastAsia="仿宋_GB2312"/>
          <w:b w:val="0"/>
          <w:bCs w:val="0"/>
          <w:color w:val="auto"/>
        </w:rPr>
        <w:t>（二）项目绩效目标。</w:t>
      </w:r>
      <w:bookmarkEnd w:id="2"/>
    </w:p>
    <w:p>
      <w:pPr>
        <w:spacing w:line="360" w:lineRule="auto"/>
        <w:ind w:firstLine="600" w:firstLineChars="200"/>
        <w:rPr>
          <w:rFonts w:hint="eastAsia" w:eastAsia="仿宋_GB2312"/>
          <w:color w:val="auto"/>
          <w:lang w:eastAsia="zh-CN"/>
        </w:rPr>
      </w:pPr>
      <w:r>
        <w:rPr>
          <w:rFonts w:hint="eastAsia"/>
          <w:color w:val="auto"/>
        </w:rPr>
        <w:t>1、总体目标：1:落实城乡统一、重在农村的义务教育经费保障机制</w:t>
      </w:r>
      <w:r>
        <w:rPr>
          <w:rFonts w:hint="eastAsia"/>
          <w:color w:val="auto"/>
          <w:lang w:eastAsia="zh-CN"/>
        </w:rPr>
        <w:t>。</w:t>
      </w:r>
    </w:p>
    <w:p>
      <w:pPr>
        <w:spacing w:line="360" w:lineRule="auto"/>
        <w:ind w:firstLine="600" w:firstLineChars="200"/>
        <w:rPr>
          <w:rFonts w:hint="eastAsia" w:eastAsia="仿宋_GB2312"/>
          <w:color w:val="auto"/>
          <w:lang w:eastAsia="zh-CN"/>
        </w:rPr>
      </w:pPr>
      <w:r>
        <w:rPr>
          <w:rFonts w:hint="eastAsia"/>
          <w:color w:val="auto"/>
        </w:rPr>
        <w:t>2：实施农村义务教育学校教师特设岗位计划；进一步加强我县教师队伍管理，稳定教师队伍，提升教师素质，不断推进教育均衡发展，增强教师队伍整体实力</w:t>
      </w:r>
      <w:r>
        <w:rPr>
          <w:rFonts w:hint="eastAsia"/>
          <w:color w:val="auto"/>
          <w:lang w:eastAsia="zh-CN"/>
        </w:rPr>
        <w:t>。</w:t>
      </w:r>
    </w:p>
    <w:p>
      <w:pPr>
        <w:spacing w:line="360" w:lineRule="auto"/>
        <w:ind w:firstLine="600" w:firstLineChars="200"/>
        <w:rPr>
          <w:color w:val="auto"/>
        </w:rPr>
      </w:pPr>
      <w:r>
        <w:rPr>
          <w:color w:val="auto"/>
        </w:rPr>
        <w:t>2</w:t>
      </w:r>
      <w:r>
        <w:rPr>
          <w:rFonts w:hint="eastAsia"/>
          <w:color w:val="auto"/>
        </w:rPr>
        <w:t>、阶段性目标：</w:t>
      </w:r>
      <w:r>
        <w:rPr>
          <w:rFonts w:hint="eastAsia" w:ascii="仿宋_GB2312"/>
          <w:color w:val="auto"/>
          <w:lang w:eastAsia="zh-CN"/>
        </w:rPr>
        <w:t>此项目为享受免费教科书政策的学生比例为义务教育段全部学生，完成此项指标，家庭经济困难学生享受生活补助政策比例，</w:t>
      </w:r>
      <w:r>
        <w:rPr>
          <w:rFonts w:hint="eastAsia" w:ascii="仿宋_GB2312"/>
          <w:color w:val="auto"/>
          <w:lang w:val="en-US" w:eastAsia="zh-CN"/>
        </w:rPr>
        <w:t>2023年家庭经济困难学生补助拨付180.57万元，支付117.67万元，此项指标未完成。</w:t>
      </w:r>
      <w:r>
        <w:rPr>
          <w:rFonts w:hint="eastAsia" w:ascii="仿宋_GB2312"/>
          <w:color w:val="auto"/>
          <w:lang w:eastAsia="zh-CN"/>
        </w:rPr>
        <w:t>农村学校校舍日常维修改造质量达标率，公用经费保障学校日常维修及改造，完成此项指标。减轻学生家庭经济负担，家庭经济困难学生分为寄宿生生活补助及非寄宿生生活补助，幼小减轻学生家庭经济困难</w:t>
      </w:r>
    </w:p>
    <w:p>
      <w:pPr>
        <w:pStyle w:val="3"/>
        <w:spacing w:line="360" w:lineRule="auto"/>
        <w:rPr>
          <w:rFonts w:ascii="宋体" w:hAnsi="宋体" w:eastAsia="宋体"/>
          <w:color w:val="auto"/>
          <w:sz w:val="32"/>
          <w:szCs w:val="32"/>
        </w:rPr>
      </w:pPr>
      <w:bookmarkStart w:id="3" w:name="_Toc68703830"/>
      <w:r>
        <w:rPr>
          <w:rFonts w:hint="eastAsia" w:ascii="宋体" w:hAnsi="宋体" w:eastAsia="宋体"/>
          <w:color w:val="auto"/>
          <w:sz w:val="32"/>
          <w:szCs w:val="32"/>
        </w:rPr>
        <w:t>二、绩效评价工作开展情况</w:t>
      </w:r>
      <w:bookmarkEnd w:id="3"/>
    </w:p>
    <w:p>
      <w:pPr>
        <w:pStyle w:val="4"/>
        <w:spacing w:line="360" w:lineRule="auto"/>
        <w:rPr>
          <w:rFonts w:ascii="仿宋_GB2312" w:eastAsia="仿宋_GB2312"/>
          <w:b w:val="0"/>
          <w:bCs w:val="0"/>
          <w:color w:val="auto"/>
        </w:rPr>
      </w:pPr>
      <w:bookmarkStart w:id="4" w:name="_Toc68703831"/>
      <w:r>
        <w:rPr>
          <w:rFonts w:hint="eastAsia" w:ascii="仿宋_GB2312" w:eastAsia="仿宋_GB2312"/>
          <w:b w:val="0"/>
          <w:bCs w:val="0"/>
          <w:color w:val="auto"/>
        </w:rPr>
        <w:t>（一）绩效评价目的、对象和范围。</w:t>
      </w:r>
      <w:bookmarkEnd w:id="4"/>
    </w:p>
    <w:p>
      <w:pPr>
        <w:spacing w:line="360" w:lineRule="auto"/>
        <w:rPr>
          <w:color w:val="auto"/>
        </w:rPr>
      </w:pPr>
      <w:r>
        <w:rPr>
          <w:rFonts w:hint="eastAsia"/>
          <w:color w:val="auto"/>
        </w:rPr>
        <w:t>1、绩效评价目的：</w:t>
      </w:r>
    </w:p>
    <w:p>
      <w:pPr>
        <w:spacing w:line="360" w:lineRule="auto"/>
        <w:ind w:firstLine="640" w:firstLineChars="200"/>
        <w:jc w:val="left"/>
        <w:rPr>
          <w:rFonts w:ascii="仿宋_GB2312"/>
          <w:bCs/>
          <w:color w:val="auto"/>
          <w:sz w:val="32"/>
          <w:szCs w:val="32"/>
        </w:rPr>
      </w:pPr>
      <w:r>
        <w:rPr>
          <w:rFonts w:hint="eastAsia" w:ascii="仿宋_GB2312"/>
          <w:bCs/>
          <w:color w:val="auto"/>
          <w:sz w:val="32"/>
          <w:szCs w:val="32"/>
        </w:rPr>
        <w:t>通过绩效评价，客观地评判项目的管理绩效，了解和掌握城乡义务教育补助经费（可填项目名称）经费的具体情况，评价该项目资金安排的科学性、合理性、规范性和资金的使用成效，及时总结项目管理经验，完善项目管理办法，提高项目管理水平和资金使用效益。促使我局根据绩效评价中发现的问题，认真加以整改，及时调整和完善单位的工作计划和绩效目标并加强项目管理，提高管理水平，同时为项目后续资金投入、分配和管理提供决策依据。</w:t>
      </w:r>
    </w:p>
    <w:p>
      <w:pPr>
        <w:spacing w:line="360" w:lineRule="auto"/>
        <w:ind w:firstLine="600" w:firstLineChars="200"/>
        <w:jc w:val="left"/>
        <w:rPr>
          <w:color w:val="auto"/>
        </w:rPr>
      </w:pPr>
      <w:r>
        <w:rPr>
          <w:rFonts w:hint="eastAsia"/>
          <w:color w:val="auto"/>
        </w:rPr>
        <w:t>2、绩效评价对象：</w:t>
      </w:r>
    </w:p>
    <w:p>
      <w:pPr>
        <w:spacing w:line="360" w:lineRule="auto"/>
        <w:ind w:firstLine="600" w:firstLineChars="200"/>
        <w:rPr>
          <w:color w:val="auto"/>
        </w:rPr>
      </w:pPr>
      <w:r>
        <w:rPr>
          <w:rFonts w:hint="eastAsia"/>
          <w:color w:val="auto"/>
        </w:rPr>
        <w:t>城乡义务教育补助经费</w:t>
      </w:r>
    </w:p>
    <w:p>
      <w:pPr>
        <w:spacing w:line="360" w:lineRule="auto"/>
        <w:ind w:firstLine="600" w:firstLineChars="200"/>
        <w:rPr>
          <w:color w:val="auto"/>
        </w:rPr>
      </w:pPr>
      <w:r>
        <w:rPr>
          <w:rFonts w:hint="eastAsia"/>
          <w:color w:val="auto"/>
        </w:rPr>
        <w:t>3、绩效评价范围：</w:t>
      </w:r>
    </w:p>
    <w:p>
      <w:pPr>
        <w:spacing w:line="360" w:lineRule="auto"/>
        <w:ind w:firstLine="600" w:firstLineChars="200"/>
        <w:rPr>
          <w:color w:val="auto"/>
        </w:rPr>
      </w:pPr>
      <w:r>
        <w:rPr>
          <w:rFonts w:hint="eastAsia"/>
          <w:color w:val="auto"/>
        </w:rPr>
        <w:t>本次评价从项目决策（包括绩效目标、决策过程）、项目管理（包括项目资金、项目实施）、项目产出（包括项目产出数量、产出质量、产出时效和产出成本）项目效益四个维度进行城乡义务教育补助经费（可填项目名称）评价，评价核心为专项资金的支出完成情况和效果。</w:t>
      </w:r>
    </w:p>
    <w:p>
      <w:pPr>
        <w:pStyle w:val="4"/>
        <w:numPr>
          <w:ilvl w:val="0"/>
          <w:numId w:val="1"/>
        </w:numPr>
        <w:spacing w:line="360" w:lineRule="auto"/>
        <w:rPr>
          <w:rFonts w:hint="eastAsia" w:ascii="仿宋_GB2312" w:eastAsia="仿宋_GB2312"/>
          <w:b w:val="0"/>
          <w:bCs w:val="0"/>
          <w:color w:val="auto"/>
        </w:rPr>
      </w:pPr>
      <w:bookmarkStart w:id="5" w:name="_Toc68703832"/>
      <w:r>
        <w:rPr>
          <w:rFonts w:hint="eastAsia" w:ascii="仿宋_GB2312" w:eastAsia="仿宋_GB2312"/>
          <w:b w:val="0"/>
          <w:bCs w:val="0"/>
          <w:color w:val="auto"/>
        </w:rPr>
        <w:t>绩效评价原则、评价指标体系、评价方法、评价标准等。</w:t>
      </w:r>
      <w:bookmarkEnd w:id="5"/>
    </w:p>
    <w:p>
      <w:pPr>
        <w:spacing w:line="360" w:lineRule="auto"/>
        <w:ind w:firstLine="600" w:firstLineChars="200"/>
        <w:rPr>
          <w:rFonts w:hint="eastAsia" w:ascii="Times New Roman" w:hAnsi="Times New Roman" w:cs="Times New Roman"/>
          <w:color w:val="auto"/>
        </w:rPr>
      </w:pPr>
      <w:r>
        <w:rPr>
          <w:rFonts w:hint="eastAsia" w:ascii="Times New Roman" w:hAnsi="Times New Roman" w:cs="Times New Roman"/>
          <w:color w:val="auto"/>
          <w:lang w:eastAsia="zh-CN"/>
        </w:rPr>
        <w:t>此项目为享受免费教科书政策的学生比例大于等于</w:t>
      </w:r>
      <w:r>
        <w:rPr>
          <w:rFonts w:hint="eastAsia" w:ascii="Times New Roman" w:hAnsi="Times New Roman" w:cs="Times New Roman"/>
          <w:color w:val="auto"/>
          <w:lang w:val="en-US" w:eastAsia="zh-CN"/>
        </w:rPr>
        <w:t>95%，2023年</w:t>
      </w:r>
      <w:r>
        <w:rPr>
          <w:rFonts w:hint="eastAsia" w:ascii="Times New Roman" w:hAnsi="Times New Roman" w:cs="Times New Roman"/>
          <w:color w:val="auto"/>
          <w:lang w:eastAsia="zh-CN"/>
        </w:rPr>
        <w:t>享受免费教科书政策的学生为义务教育段全部学生，完成此项指标。家庭经济困难学生享受生活补助政策比例大于等于</w:t>
      </w:r>
      <w:r>
        <w:rPr>
          <w:rFonts w:hint="eastAsia" w:ascii="Times New Roman" w:hAnsi="Times New Roman" w:cs="Times New Roman"/>
          <w:color w:val="auto"/>
          <w:lang w:val="en-US" w:eastAsia="zh-CN"/>
        </w:rPr>
        <w:t>95%</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2023年家庭经济困难学生补助拨付180.57万元，支付117.67万元，完成率65.16%，此项指标未完成。</w:t>
      </w:r>
      <w:r>
        <w:rPr>
          <w:rFonts w:hint="eastAsia" w:ascii="Times New Roman" w:hAnsi="Times New Roman" w:cs="Times New Roman"/>
          <w:color w:val="auto"/>
          <w:lang w:eastAsia="zh-CN"/>
        </w:rPr>
        <w:t>农村学校校舍日常维修改造质量达标率，公用经费保障学校日常维修及改造，完成此项指标。减轻学生家庭经济负担，家庭经济困难学生分为寄宿生生活补助及非寄宿生生活补助，幼小减轻学生家庭经济困难。</w:t>
      </w:r>
    </w:p>
    <w:p>
      <w:pPr>
        <w:spacing w:line="360" w:lineRule="auto"/>
        <w:rPr>
          <w:color w:val="auto"/>
        </w:rPr>
      </w:pPr>
      <w:r>
        <w:rPr>
          <w:rFonts w:hint="eastAsia"/>
          <w:color w:val="auto"/>
        </w:rPr>
        <w:t>1、绩效评价原则</w:t>
      </w:r>
    </w:p>
    <w:p>
      <w:pPr>
        <w:spacing w:line="600" w:lineRule="exact"/>
        <w:ind w:firstLine="640"/>
        <w:rPr>
          <w:rFonts w:ascii="仿宋_GB2312"/>
          <w:bCs/>
          <w:color w:val="auto"/>
          <w:sz w:val="32"/>
          <w:szCs w:val="32"/>
        </w:rPr>
      </w:pPr>
      <w:r>
        <w:rPr>
          <w:rFonts w:hint="eastAsia" w:ascii="仿宋_GB2312"/>
          <w:bCs/>
          <w:color w:val="auto"/>
          <w:sz w:val="32"/>
          <w:szCs w:val="32"/>
        </w:rPr>
        <w:t>（（一）科学公正。绩效评价应当运用科学合理的方法，按照规范的程序，对项目绩效进行客观、公正的反映。</w:t>
      </w:r>
    </w:p>
    <w:p>
      <w:pPr>
        <w:spacing w:line="600" w:lineRule="exact"/>
        <w:ind w:firstLine="640"/>
        <w:rPr>
          <w:rFonts w:ascii="仿宋_GB2312"/>
          <w:bCs/>
          <w:color w:val="auto"/>
          <w:sz w:val="32"/>
          <w:szCs w:val="32"/>
        </w:rPr>
      </w:pPr>
      <w:r>
        <w:rPr>
          <w:rFonts w:hint="eastAsia" w:ascii="仿宋_GB2312"/>
          <w:bCs/>
          <w:color w:val="auto"/>
          <w:sz w:val="32"/>
          <w:szCs w:val="32"/>
        </w:rPr>
        <w:t>（二）统筹兼顾。单位自评、部门评价和财政评价应职责明确，各有侧重，相互衔接。单位自评应由项目单位自主实施，即“谁支出、谁自评”。部门评价和财政评价应在单位自评的基础上开展，必要时可委托第三方机构实施。</w:t>
      </w:r>
    </w:p>
    <w:p>
      <w:pPr>
        <w:spacing w:line="600" w:lineRule="exact"/>
        <w:ind w:firstLine="640"/>
        <w:rPr>
          <w:rFonts w:ascii="仿宋_GB2312"/>
          <w:bCs/>
          <w:color w:val="auto"/>
          <w:sz w:val="32"/>
          <w:szCs w:val="32"/>
        </w:rPr>
      </w:pPr>
      <w:r>
        <w:rPr>
          <w:rFonts w:hint="eastAsia" w:ascii="仿宋_GB2312"/>
          <w:bCs/>
          <w:color w:val="auto"/>
          <w:sz w:val="32"/>
          <w:szCs w:val="32"/>
        </w:rPr>
        <w:t>（三）激励约束。绩效评价结果应与预算安排、政策调整、改进管理实质性挂钩，体现奖优罚劣和激励相容导向，有效要安排、低效要压减、无效要问责。</w:t>
      </w:r>
    </w:p>
    <w:p>
      <w:pPr>
        <w:spacing w:line="600" w:lineRule="exact"/>
        <w:ind w:firstLine="640"/>
        <w:rPr>
          <w:rFonts w:ascii="仿宋_GB2312"/>
          <w:bCs/>
          <w:color w:val="auto"/>
          <w:sz w:val="32"/>
          <w:szCs w:val="32"/>
        </w:rPr>
      </w:pPr>
      <w:r>
        <w:rPr>
          <w:rFonts w:hint="eastAsia" w:ascii="仿宋_GB2312"/>
          <w:bCs/>
          <w:color w:val="auto"/>
          <w:sz w:val="32"/>
          <w:szCs w:val="32"/>
        </w:rPr>
        <w:t>（四）公开透明。绩效评价结果应依法依规公开，并自觉接受社会监督。）</w:t>
      </w:r>
    </w:p>
    <w:p>
      <w:pPr>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rPr>
      </w:pPr>
      <w:r>
        <w:rPr>
          <w:rFonts w:hint="eastAsia"/>
        </w:rPr>
        <w:t>2、评价指标体系（附表说明）</w:t>
      </w:r>
    </w:p>
    <w:p>
      <w:pPr>
        <w:pageBreakBefore w:val="0"/>
        <w:kinsoku/>
        <w:wordWrap/>
        <w:overflowPunct/>
        <w:topLinePunct w:val="0"/>
        <w:autoSpaceDE/>
        <w:autoSpaceDN/>
        <w:bidi w:val="0"/>
        <w:adjustRightInd/>
        <w:snapToGrid/>
        <w:spacing w:line="560" w:lineRule="exact"/>
        <w:ind w:firstLine="708" w:firstLineChars="200"/>
        <w:textAlignment w:val="auto"/>
        <w:rPr>
          <w:color w:val="000000"/>
          <w:spacing w:val="17"/>
          <w:sz w:val="32"/>
          <w:szCs w:val="32"/>
        </w:rPr>
      </w:pPr>
      <w:r>
        <w:rPr>
          <w:rFonts w:eastAsia="仿宋_GB2312"/>
          <w:color w:val="000000"/>
          <w:spacing w:val="17"/>
          <w:sz w:val="32"/>
          <w:szCs w:val="32"/>
        </w:rPr>
        <w:t>绩效评价框架是开展绩效评价的核心。绩效评价框架包括评价准则、关键评价问题、评价指标、数据来源、数据收集方法等。指标体系建立过程如下：</w:t>
      </w:r>
    </w:p>
    <w:p>
      <w:pPr>
        <w:pageBreakBefore w:val="0"/>
        <w:kinsoku/>
        <w:wordWrap/>
        <w:overflowPunct/>
        <w:topLinePunct w:val="0"/>
        <w:autoSpaceDE/>
        <w:autoSpaceDN/>
        <w:bidi w:val="0"/>
        <w:adjustRightInd/>
        <w:snapToGrid/>
        <w:spacing w:line="560" w:lineRule="exact"/>
        <w:ind w:firstLine="708" w:firstLineChars="200"/>
        <w:textAlignment w:val="auto"/>
        <w:rPr>
          <w:rFonts w:eastAsia="仿宋_GB2312"/>
          <w:color w:val="000000"/>
          <w:spacing w:val="17"/>
          <w:sz w:val="32"/>
          <w:szCs w:val="32"/>
        </w:rPr>
      </w:pPr>
      <w:r>
        <w:rPr>
          <w:rFonts w:eastAsia="仿宋_GB2312"/>
          <w:color w:val="000000"/>
          <w:spacing w:val="17"/>
          <w:sz w:val="32"/>
          <w:szCs w:val="32"/>
        </w:rPr>
        <w:t>（1）确定评价指标</w:t>
      </w:r>
    </w:p>
    <w:p>
      <w:pPr>
        <w:pageBreakBefore w:val="0"/>
        <w:kinsoku/>
        <w:wordWrap/>
        <w:overflowPunct/>
        <w:topLinePunct w:val="0"/>
        <w:autoSpaceDE/>
        <w:autoSpaceDN/>
        <w:bidi w:val="0"/>
        <w:adjustRightInd/>
        <w:snapToGrid/>
        <w:spacing w:line="560" w:lineRule="exact"/>
        <w:ind w:firstLine="708" w:firstLineChars="200"/>
        <w:textAlignment w:val="auto"/>
        <w:rPr>
          <w:rFonts w:eastAsia="仿宋_GB2312"/>
          <w:color w:val="000000"/>
          <w:spacing w:val="17"/>
          <w:sz w:val="32"/>
          <w:szCs w:val="32"/>
        </w:rPr>
      </w:pPr>
      <w:r>
        <w:rPr>
          <w:rFonts w:eastAsia="仿宋_GB2312"/>
          <w:color w:val="000000"/>
          <w:spacing w:val="17"/>
          <w:sz w:val="32"/>
          <w:szCs w:val="32"/>
        </w:rPr>
        <w:t>采用层次分析法，建立评价指标体系。绩效评价将指标分为项目决策指标、项目过程指标、项目产出指标、项目效益指标四个维度，最终形成一个由多个相互联系的指标组成的多层次指标体系。</w:t>
      </w:r>
    </w:p>
    <w:p>
      <w:pPr>
        <w:pageBreakBefore w:val="0"/>
        <w:kinsoku/>
        <w:wordWrap/>
        <w:overflowPunct/>
        <w:topLinePunct w:val="0"/>
        <w:autoSpaceDE/>
        <w:autoSpaceDN/>
        <w:bidi w:val="0"/>
        <w:adjustRightInd/>
        <w:snapToGrid/>
        <w:spacing w:line="560" w:lineRule="exact"/>
        <w:ind w:firstLine="708" w:firstLineChars="200"/>
        <w:textAlignment w:val="auto"/>
        <w:rPr>
          <w:rFonts w:eastAsia="仿宋_GB2312"/>
          <w:color w:val="000000"/>
          <w:spacing w:val="17"/>
          <w:sz w:val="32"/>
          <w:szCs w:val="32"/>
        </w:rPr>
      </w:pPr>
      <w:r>
        <w:rPr>
          <w:rFonts w:eastAsia="仿宋_GB2312"/>
          <w:color w:val="000000"/>
          <w:spacing w:val="17"/>
          <w:sz w:val="32"/>
          <w:szCs w:val="32"/>
        </w:rPr>
        <w:t>（2）确定权重</w:t>
      </w:r>
    </w:p>
    <w:p>
      <w:pPr>
        <w:pageBreakBefore w:val="0"/>
        <w:kinsoku/>
        <w:wordWrap/>
        <w:overflowPunct/>
        <w:topLinePunct w:val="0"/>
        <w:autoSpaceDE/>
        <w:autoSpaceDN/>
        <w:bidi w:val="0"/>
        <w:adjustRightInd/>
        <w:snapToGrid/>
        <w:spacing w:line="560" w:lineRule="exact"/>
        <w:ind w:firstLine="708" w:firstLineChars="200"/>
        <w:textAlignment w:val="auto"/>
        <w:rPr>
          <w:rFonts w:hint="eastAsia" w:eastAsia="仿宋_GB2312"/>
          <w:color w:val="000000"/>
          <w:spacing w:val="17"/>
          <w:sz w:val="32"/>
          <w:szCs w:val="32"/>
          <w:lang w:eastAsia="zh-CN"/>
        </w:rPr>
      </w:pPr>
      <w:r>
        <w:rPr>
          <w:rFonts w:eastAsia="仿宋_GB2312"/>
          <w:color w:val="000000"/>
          <w:spacing w:val="17"/>
          <w:sz w:val="32"/>
          <w:szCs w:val="32"/>
        </w:rPr>
        <w:t>确定各个指标相对于项目总体绩效的权重分值。在绩效评价指标体系中，项目决策权重为20分，项目过程权重为20分，项目产出权重为40分，项目效益权重为20分。</w:t>
      </w:r>
    </w:p>
    <w:p>
      <w:pPr>
        <w:pageBreakBefore w:val="0"/>
        <w:kinsoku/>
        <w:wordWrap/>
        <w:overflowPunct/>
        <w:topLinePunct w:val="0"/>
        <w:autoSpaceDE/>
        <w:autoSpaceDN/>
        <w:bidi w:val="0"/>
        <w:adjustRightInd/>
        <w:snapToGrid/>
        <w:spacing w:line="560" w:lineRule="exact"/>
        <w:ind w:firstLine="708" w:firstLineChars="200"/>
        <w:textAlignment w:val="auto"/>
        <w:rPr>
          <w:rFonts w:eastAsia="仿宋_GB2312"/>
          <w:color w:val="000000"/>
          <w:spacing w:val="17"/>
          <w:sz w:val="32"/>
          <w:szCs w:val="32"/>
        </w:rPr>
      </w:pPr>
      <w:r>
        <w:rPr>
          <w:rFonts w:eastAsia="仿宋_GB2312"/>
          <w:color w:val="000000"/>
          <w:spacing w:val="17"/>
          <w:sz w:val="32"/>
          <w:szCs w:val="32"/>
        </w:rPr>
        <w:t>（3）确定指标标准值</w:t>
      </w:r>
    </w:p>
    <w:p>
      <w:pPr>
        <w:pageBreakBefore w:val="0"/>
        <w:kinsoku/>
        <w:wordWrap/>
        <w:overflowPunct/>
        <w:topLinePunct w:val="0"/>
        <w:autoSpaceDE/>
        <w:autoSpaceDN/>
        <w:bidi w:val="0"/>
        <w:adjustRightInd/>
        <w:snapToGrid/>
        <w:spacing w:line="560" w:lineRule="exact"/>
        <w:ind w:firstLine="708" w:firstLineChars="200"/>
        <w:textAlignment w:val="auto"/>
        <w:rPr>
          <w:rFonts w:eastAsia="仿宋_GB2312"/>
          <w:color w:val="000000"/>
          <w:spacing w:val="17"/>
          <w:sz w:val="32"/>
          <w:szCs w:val="32"/>
        </w:rPr>
      </w:pPr>
      <w:r>
        <w:rPr>
          <w:rFonts w:eastAsia="仿宋_GB2312"/>
          <w:color w:val="000000"/>
          <w:spacing w:val="17"/>
          <w:sz w:val="32"/>
          <w:szCs w:val="32"/>
        </w:rPr>
        <w:t>指标标准值是绩效评价指标的尺度，既要反映同类项目的先进水平，又要符合项目的实际绩效水平。具体采用计划标准等确定此次绩效评价指标标准值。</w:t>
      </w:r>
    </w:p>
    <w:p>
      <w:pPr>
        <w:pStyle w:val="2"/>
        <w:pageBreakBefore w:val="0"/>
        <w:kinsoku/>
        <w:wordWrap/>
        <w:overflowPunct/>
        <w:topLinePunct w:val="0"/>
        <w:autoSpaceDE/>
        <w:autoSpaceDN/>
        <w:bidi w:val="0"/>
        <w:adjustRightInd/>
        <w:snapToGrid/>
        <w:spacing w:before="0" w:after="0" w:line="560" w:lineRule="exact"/>
        <w:ind w:firstLine="708" w:firstLineChars="200"/>
        <w:jc w:val="both"/>
        <w:textAlignment w:val="auto"/>
        <w:rPr>
          <w:color w:val="auto"/>
        </w:rPr>
      </w:pPr>
      <w:r>
        <w:rPr>
          <w:rFonts w:ascii="Times New Roman" w:hAnsi="Times New Roman" w:eastAsia="仿宋_GB2312"/>
          <w:b w:val="0"/>
          <w:bCs w:val="0"/>
          <w:color w:val="000000"/>
          <w:spacing w:val="17"/>
          <w:kern w:val="2"/>
        </w:rPr>
        <w:t>绩效评价总分值100分，根据综合评分结果，评价计分90分-100分（含90分）对应的评分结果级别为优，80-90分（含80分）对应的评分结果级别为良，60-80分（含60分）对应的评分结果级别为中，60分以下对应的评分结果级别为差。</w:t>
      </w:r>
    </w:p>
    <w:p>
      <w:pPr>
        <w:spacing w:line="360" w:lineRule="auto"/>
        <w:rPr>
          <w:color w:val="auto"/>
        </w:rPr>
      </w:pPr>
      <w:r>
        <w:rPr>
          <w:rFonts w:hint="eastAsia"/>
          <w:color w:val="auto"/>
        </w:rPr>
        <w:t>2、评价指标体系（附表说明）</w:t>
      </w:r>
    </w:p>
    <w:p>
      <w:pPr>
        <w:pStyle w:val="4"/>
        <w:spacing w:before="0" w:after="0" w:line="240" w:lineRule="auto"/>
        <w:jc w:val="center"/>
        <w:rPr>
          <w:rFonts w:ascii="Times New Roman" w:hAnsi="Times New Roman" w:eastAsia="仿宋_GB2312" w:cs="Times New Roman"/>
          <w:b w:val="0"/>
          <w:bCs w:val="0"/>
          <w:color w:val="auto"/>
          <w:sz w:val="30"/>
          <w:szCs w:val="24"/>
        </w:rPr>
      </w:pPr>
      <w:r>
        <w:rPr>
          <w:rFonts w:hint="eastAsia" w:ascii="Times New Roman" w:hAnsi="Times New Roman" w:eastAsia="仿宋_GB2312" w:cs="Times New Roman"/>
          <w:b w:val="0"/>
          <w:bCs w:val="0"/>
          <w:color w:val="auto"/>
          <w:sz w:val="30"/>
          <w:szCs w:val="24"/>
        </w:rPr>
        <w:t>城乡义务教育补助经费项目支出绩效评价指标体系</w:t>
      </w:r>
    </w:p>
    <w:tbl>
      <w:tblPr>
        <w:tblStyle w:val="8"/>
        <w:tblW w:w="985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57"/>
        <w:gridCol w:w="1478"/>
        <w:gridCol w:w="1875"/>
        <w:gridCol w:w="3885"/>
        <w:gridCol w:w="990"/>
        <w:gridCol w:w="87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jc w:val="center"/>
        </w:trPr>
        <w:tc>
          <w:tcPr>
            <w:tcW w:w="757" w:type="dxa"/>
            <w:shd w:val="clear" w:color="auto" w:fill="FFFFFF"/>
            <w:vAlign w:val="center"/>
          </w:tcPr>
          <w:p>
            <w:pPr>
              <w:widowControl/>
              <w:spacing w:line="0" w:lineRule="atLeast"/>
              <w:jc w:val="center"/>
              <w:rPr>
                <w:rFonts w:ascii="宋体" w:hAnsi="宋体" w:eastAsia="宋体" w:cs="宋体"/>
                <w:b/>
                <w:bCs/>
                <w:color w:val="auto"/>
                <w:kern w:val="0"/>
                <w:sz w:val="22"/>
              </w:rPr>
            </w:pPr>
            <w:r>
              <w:rPr>
                <w:rFonts w:hint="eastAsia" w:ascii="宋体" w:hAnsi="宋体" w:eastAsia="宋体" w:cs="宋体"/>
                <w:b/>
                <w:bCs/>
                <w:color w:val="auto"/>
                <w:kern w:val="0"/>
                <w:sz w:val="22"/>
              </w:rPr>
              <w:t>一级指标</w:t>
            </w:r>
          </w:p>
        </w:tc>
        <w:tc>
          <w:tcPr>
            <w:tcW w:w="1478" w:type="dxa"/>
            <w:shd w:val="clear" w:color="auto" w:fill="FFFFFF"/>
            <w:vAlign w:val="center"/>
          </w:tcPr>
          <w:p>
            <w:pPr>
              <w:widowControl/>
              <w:spacing w:line="0" w:lineRule="atLeast"/>
              <w:jc w:val="center"/>
              <w:rPr>
                <w:rFonts w:ascii="宋体" w:hAnsi="宋体" w:eastAsia="宋体" w:cs="宋体"/>
                <w:b/>
                <w:bCs/>
                <w:color w:val="auto"/>
                <w:kern w:val="0"/>
                <w:sz w:val="22"/>
              </w:rPr>
            </w:pPr>
            <w:r>
              <w:rPr>
                <w:rFonts w:hint="eastAsia" w:ascii="宋体" w:hAnsi="宋体" w:eastAsia="宋体" w:cs="宋体"/>
                <w:b/>
                <w:bCs/>
                <w:color w:val="auto"/>
                <w:kern w:val="0"/>
                <w:sz w:val="22"/>
              </w:rPr>
              <w:t>二级指标</w:t>
            </w:r>
          </w:p>
        </w:tc>
        <w:tc>
          <w:tcPr>
            <w:tcW w:w="1875" w:type="dxa"/>
            <w:tcBorders>
              <w:right w:val="single" w:color="auto" w:sz="4" w:space="0"/>
            </w:tcBorders>
            <w:shd w:val="clear" w:color="auto" w:fill="FFFFFF"/>
            <w:vAlign w:val="center"/>
          </w:tcPr>
          <w:p>
            <w:pPr>
              <w:widowControl/>
              <w:spacing w:line="0" w:lineRule="atLeast"/>
              <w:jc w:val="center"/>
              <w:rPr>
                <w:rFonts w:ascii="宋体" w:hAnsi="宋体" w:eastAsia="宋体" w:cs="宋体"/>
                <w:b/>
                <w:bCs/>
                <w:color w:val="auto"/>
                <w:kern w:val="0"/>
                <w:sz w:val="22"/>
              </w:rPr>
            </w:pPr>
            <w:r>
              <w:rPr>
                <w:rFonts w:hint="eastAsia" w:ascii="宋体" w:hAnsi="宋体" w:eastAsia="宋体" w:cs="宋体"/>
                <w:b/>
                <w:bCs/>
                <w:color w:val="auto"/>
                <w:kern w:val="0"/>
                <w:sz w:val="22"/>
              </w:rPr>
              <w:t>三级指标</w:t>
            </w:r>
          </w:p>
        </w:tc>
        <w:tc>
          <w:tcPr>
            <w:tcW w:w="3885" w:type="dxa"/>
            <w:tcBorders>
              <w:right w:val="single" w:color="auto" w:sz="4" w:space="0"/>
            </w:tcBorders>
            <w:shd w:val="clear" w:color="auto" w:fill="FFFFFF"/>
          </w:tcPr>
          <w:p>
            <w:pPr>
              <w:widowControl/>
              <w:spacing w:line="600" w:lineRule="auto"/>
              <w:jc w:val="center"/>
              <w:rPr>
                <w:rFonts w:ascii="宋体" w:hAnsi="宋体" w:eastAsia="宋体" w:cs="宋体"/>
                <w:b/>
                <w:bCs/>
                <w:color w:val="auto"/>
                <w:kern w:val="0"/>
                <w:sz w:val="22"/>
              </w:rPr>
            </w:pPr>
            <w:r>
              <w:rPr>
                <w:rFonts w:hint="eastAsia" w:ascii="宋体" w:hAnsi="宋体" w:eastAsia="宋体" w:cs="宋体"/>
                <w:b/>
                <w:bCs/>
                <w:color w:val="auto"/>
                <w:kern w:val="0"/>
                <w:sz w:val="22"/>
              </w:rPr>
              <w:t>指标解释</w:t>
            </w:r>
          </w:p>
        </w:tc>
        <w:tc>
          <w:tcPr>
            <w:tcW w:w="990" w:type="dxa"/>
            <w:tcBorders>
              <w:left w:val="single" w:color="auto" w:sz="4" w:space="0"/>
            </w:tcBorders>
            <w:shd w:val="clear" w:color="auto" w:fill="FFFFFF"/>
          </w:tcPr>
          <w:p>
            <w:pPr>
              <w:widowControl/>
              <w:spacing w:line="600" w:lineRule="auto"/>
              <w:jc w:val="center"/>
              <w:rPr>
                <w:rFonts w:ascii="宋体" w:hAnsi="宋体" w:eastAsia="宋体" w:cs="宋体"/>
                <w:b/>
                <w:bCs/>
                <w:color w:val="auto"/>
                <w:kern w:val="0"/>
                <w:sz w:val="22"/>
              </w:rPr>
            </w:pPr>
            <w:r>
              <w:rPr>
                <w:rFonts w:hint="eastAsia" w:ascii="宋体" w:hAnsi="宋体" w:eastAsia="宋体" w:cs="宋体"/>
                <w:b/>
                <w:bCs/>
                <w:color w:val="auto"/>
                <w:kern w:val="0"/>
                <w:sz w:val="22"/>
              </w:rPr>
              <w:t>分值</w:t>
            </w:r>
          </w:p>
        </w:tc>
        <w:tc>
          <w:tcPr>
            <w:tcW w:w="874" w:type="dxa"/>
            <w:shd w:val="clear" w:color="auto" w:fill="FFFFFF"/>
          </w:tcPr>
          <w:p>
            <w:pPr>
              <w:widowControl/>
              <w:spacing w:line="600" w:lineRule="auto"/>
              <w:jc w:val="center"/>
              <w:rPr>
                <w:rFonts w:ascii="宋体" w:hAnsi="宋体" w:eastAsia="宋体" w:cs="宋体"/>
                <w:b/>
                <w:bCs/>
                <w:color w:val="auto"/>
                <w:kern w:val="0"/>
                <w:sz w:val="22"/>
              </w:rPr>
            </w:pPr>
            <w:r>
              <w:rPr>
                <w:rFonts w:hint="eastAsia" w:ascii="宋体" w:hAnsi="宋体" w:eastAsia="宋体" w:cs="宋体"/>
                <w:b/>
                <w:bCs/>
                <w:color w:val="auto"/>
                <w:kern w:val="0"/>
                <w:sz w:val="22"/>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5" w:hRule="atLeast"/>
          <w:jc w:val="center"/>
        </w:trPr>
        <w:tc>
          <w:tcPr>
            <w:tcW w:w="757" w:type="dxa"/>
            <w:vMerge w:val="restart"/>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决策</w:t>
            </w:r>
          </w:p>
        </w:tc>
        <w:tc>
          <w:tcPr>
            <w:tcW w:w="1478" w:type="dxa"/>
            <w:vMerge w:val="restart"/>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项目立项　</w:t>
            </w:r>
          </w:p>
        </w:tc>
        <w:tc>
          <w:tcPr>
            <w:tcW w:w="1875"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立项依据</w:t>
            </w:r>
          </w:p>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充分性</w:t>
            </w:r>
          </w:p>
        </w:tc>
        <w:tc>
          <w:tcPr>
            <w:tcW w:w="3885"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项目立项是否符合法律法规、相关政策、发展规划以及部门职责，用以反映和考核项目立项依据情况。</w:t>
            </w:r>
          </w:p>
        </w:tc>
        <w:tc>
          <w:tcPr>
            <w:tcW w:w="990" w:type="dxa"/>
            <w:tcBorders>
              <w:left w:val="single" w:color="auto" w:sz="4" w:space="0"/>
            </w:tcBorders>
            <w:shd w:val="clear" w:color="auto" w:fill="FFFFFF"/>
          </w:tcPr>
          <w:p>
            <w:pPr>
              <w:spacing w:line="600" w:lineRule="auto"/>
              <w:jc w:val="center"/>
              <w:rPr>
                <w:rFonts w:hint="eastAsia" w:eastAsia="仿宋_GB2312"/>
                <w:color w:val="auto"/>
                <w:lang w:val="en-US" w:eastAsia="zh-CN"/>
              </w:rPr>
            </w:pPr>
            <w:r>
              <w:rPr>
                <w:rFonts w:hint="eastAsia"/>
                <w:color w:val="auto"/>
                <w:lang w:val="en-US" w:eastAsia="zh-CN"/>
              </w:rPr>
              <w:t>3</w:t>
            </w:r>
          </w:p>
        </w:tc>
        <w:tc>
          <w:tcPr>
            <w:tcW w:w="874" w:type="dxa"/>
            <w:tcBorders>
              <w:bottom w:val="single" w:color="auto" w:sz="4" w:space="0"/>
            </w:tcBorders>
            <w:shd w:val="clear" w:color="auto" w:fill="FFFFFF"/>
          </w:tcPr>
          <w:p>
            <w:pPr>
              <w:spacing w:line="600" w:lineRule="auto"/>
              <w:jc w:val="center"/>
              <w:rPr>
                <w:rFonts w:hint="eastAsia" w:eastAsia="仿宋_GB2312"/>
                <w:color w:val="auto"/>
                <w:lang w:val="en-US" w:eastAsia="zh-CN"/>
              </w:rPr>
            </w:pPr>
            <w:r>
              <w:rPr>
                <w:rFonts w:hint="eastAsia"/>
                <w:color w:val="auto"/>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7" w:hRule="atLeast"/>
          <w:jc w:val="center"/>
        </w:trPr>
        <w:tc>
          <w:tcPr>
            <w:tcW w:w="757" w:type="dxa"/>
            <w:vMerge w:val="continue"/>
            <w:shd w:val="clear" w:color="auto" w:fill="FFFFFF"/>
            <w:vAlign w:val="center"/>
          </w:tcPr>
          <w:p>
            <w:pPr>
              <w:spacing w:line="0" w:lineRule="atLeast"/>
              <w:jc w:val="center"/>
              <w:rPr>
                <w:rFonts w:ascii="宋体" w:hAnsi="宋体" w:cs="宋体"/>
                <w:color w:val="auto"/>
                <w:kern w:val="0"/>
                <w:sz w:val="22"/>
              </w:rPr>
            </w:pPr>
          </w:p>
        </w:tc>
        <w:tc>
          <w:tcPr>
            <w:tcW w:w="1478" w:type="dxa"/>
            <w:vMerge w:val="continue"/>
            <w:shd w:val="clear" w:color="auto" w:fill="FFFFFF"/>
            <w:vAlign w:val="center"/>
          </w:tcPr>
          <w:p>
            <w:pPr>
              <w:widowControl/>
              <w:spacing w:line="0" w:lineRule="atLeast"/>
              <w:jc w:val="center"/>
              <w:rPr>
                <w:rFonts w:ascii="宋体" w:hAnsi="宋体" w:cs="宋体"/>
                <w:color w:val="auto"/>
                <w:kern w:val="0"/>
                <w:sz w:val="22"/>
              </w:rPr>
            </w:pPr>
          </w:p>
        </w:tc>
        <w:tc>
          <w:tcPr>
            <w:tcW w:w="1875"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立项程序</w:t>
            </w:r>
          </w:p>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规范性</w:t>
            </w:r>
          </w:p>
        </w:tc>
        <w:tc>
          <w:tcPr>
            <w:tcW w:w="3885"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项目申请、设立过程是否符合相关要求，用以反映和考核项目立项的规范情况</w:t>
            </w:r>
          </w:p>
        </w:tc>
        <w:tc>
          <w:tcPr>
            <w:tcW w:w="990" w:type="dxa"/>
            <w:tcBorders>
              <w:left w:val="single" w:color="auto" w:sz="4" w:space="0"/>
            </w:tcBorders>
            <w:shd w:val="clear" w:color="auto" w:fill="FFFFFF"/>
          </w:tcPr>
          <w:p>
            <w:pPr>
              <w:spacing w:line="600" w:lineRule="auto"/>
              <w:jc w:val="center"/>
              <w:rPr>
                <w:rFonts w:hint="eastAsia" w:eastAsia="仿宋_GB2312"/>
                <w:color w:val="auto"/>
                <w:lang w:val="en-US" w:eastAsia="zh-CN"/>
              </w:rPr>
            </w:pPr>
            <w:r>
              <w:rPr>
                <w:rFonts w:hint="eastAsia"/>
                <w:color w:val="auto"/>
                <w:lang w:val="en-US" w:eastAsia="zh-CN"/>
              </w:rPr>
              <w:t>3</w:t>
            </w:r>
          </w:p>
        </w:tc>
        <w:tc>
          <w:tcPr>
            <w:tcW w:w="874" w:type="dxa"/>
            <w:shd w:val="clear" w:color="auto" w:fill="FFFFFF"/>
          </w:tcPr>
          <w:p>
            <w:pPr>
              <w:spacing w:line="600" w:lineRule="auto"/>
              <w:jc w:val="center"/>
              <w:rPr>
                <w:rFonts w:hint="eastAsia" w:eastAsia="仿宋_GB2312"/>
                <w:color w:val="auto"/>
                <w:lang w:val="en-US" w:eastAsia="zh-CN"/>
              </w:rPr>
            </w:pPr>
            <w:r>
              <w:rPr>
                <w:rFonts w:hint="eastAsia"/>
                <w:color w:val="auto"/>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3" w:hRule="atLeast"/>
          <w:jc w:val="center"/>
        </w:trPr>
        <w:tc>
          <w:tcPr>
            <w:tcW w:w="757" w:type="dxa"/>
            <w:vMerge w:val="continue"/>
            <w:shd w:val="clear" w:color="auto" w:fill="FFFFFF"/>
            <w:vAlign w:val="center"/>
          </w:tcPr>
          <w:p>
            <w:pPr>
              <w:spacing w:line="0" w:lineRule="atLeast"/>
              <w:jc w:val="center"/>
              <w:rPr>
                <w:rFonts w:ascii="宋体" w:hAnsi="宋体" w:cs="宋体"/>
                <w:color w:val="auto"/>
                <w:kern w:val="0"/>
                <w:sz w:val="22"/>
              </w:rPr>
            </w:pPr>
          </w:p>
        </w:tc>
        <w:tc>
          <w:tcPr>
            <w:tcW w:w="1478" w:type="dxa"/>
            <w:vMerge w:val="restart"/>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绩效目标</w:t>
            </w:r>
          </w:p>
        </w:tc>
        <w:tc>
          <w:tcPr>
            <w:tcW w:w="1875"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绩效目标</w:t>
            </w:r>
          </w:p>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合理性</w:t>
            </w:r>
          </w:p>
        </w:tc>
        <w:tc>
          <w:tcPr>
            <w:tcW w:w="3885" w:type="dxa"/>
            <w:tcBorders>
              <w:right w:val="single" w:color="auto" w:sz="4" w:space="0"/>
            </w:tcBorders>
            <w:shd w:val="clear" w:color="000000"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项目所设定的绩效目标是否依据充分，是否符合客观实际，用以反映和考核项目绩效目标与项目实施的相符情况。</w:t>
            </w:r>
          </w:p>
        </w:tc>
        <w:tc>
          <w:tcPr>
            <w:tcW w:w="990" w:type="dxa"/>
            <w:tcBorders>
              <w:left w:val="single" w:color="auto" w:sz="4" w:space="0"/>
            </w:tcBorders>
            <w:shd w:val="clear" w:color="000000" w:fill="FFFFFF"/>
          </w:tcPr>
          <w:p>
            <w:pPr>
              <w:spacing w:line="600" w:lineRule="auto"/>
              <w:jc w:val="center"/>
              <w:rPr>
                <w:rFonts w:hint="eastAsia" w:eastAsia="仿宋_GB2312"/>
                <w:color w:val="auto"/>
                <w:lang w:val="en-US" w:eastAsia="zh-CN"/>
              </w:rPr>
            </w:pPr>
            <w:r>
              <w:rPr>
                <w:rFonts w:hint="eastAsia"/>
                <w:color w:val="auto"/>
                <w:lang w:val="en-US" w:eastAsia="zh-CN"/>
              </w:rPr>
              <w:t>3</w:t>
            </w:r>
          </w:p>
        </w:tc>
        <w:tc>
          <w:tcPr>
            <w:tcW w:w="874" w:type="dxa"/>
            <w:shd w:val="clear" w:color="000000" w:fill="FFFFFF"/>
          </w:tcPr>
          <w:p>
            <w:pPr>
              <w:spacing w:line="600" w:lineRule="auto"/>
              <w:jc w:val="center"/>
              <w:rPr>
                <w:rFonts w:hint="eastAsia" w:eastAsia="仿宋_GB2312"/>
                <w:color w:val="auto"/>
                <w:lang w:val="en-US" w:eastAsia="zh-CN"/>
              </w:rPr>
            </w:pPr>
            <w:r>
              <w:rPr>
                <w:rFonts w:hint="eastAsia"/>
                <w:color w:val="auto"/>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3" w:hRule="atLeast"/>
          <w:jc w:val="center"/>
        </w:trPr>
        <w:tc>
          <w:tcPr>
            <w:tcW w:w="757" w:type="dxa"/>
            <w:vMerge w:val="continue"/>
            <w:shd w:val="clear" w:color="auto" w:fill="FFFFFF"/>
            <w:vAlign w:val="center"/>
          </w:tcPr>
          <w:p>
            <w:pPr>
              <w:widowControl/>
              <w:spacing w:line="0" w:lineRule="atLeast"/>
              <w:jc w:val="center"/>
              <w:rPr>
                <w:rFonts w:ascii="宋体" w:hAnsi="宋体" w:cs="宋体"/>
                <w:color w:val="auto"/>
                <w:kern w:val="0"/>
                <w:sz w:val="22"/>
              </w:rPr>
            </w:pPr>
          </w:p>
        </w:tc>
        <w:tc>
          <w:tcPr>
            <w:tcW w:w="1478" w:type="dxa"/>
            <w:vMerge w:val="continue"/>
            <w:shd w:val="clear" w:color="auto" w:fill="FFFFFF"/>
            <w:vAlign w:val="center"/>
          </w:tcPr>
          <w:p>
            <w:pPr>
              <w:widowControl/>
              <w:spacing w:line="0" w:lineRule="atLeast"/>
              <w:jc w:val="center"/>
              <w:rPr>
                <w:rFonts w:ascii="宋体" w:hAnsi="宋体" w:cs="宋体"/>
                <w:color w:val="auto"/>
                <w:kern w:val="0"/>
                <w:sz w:val="22"/>
              </w:rPr>
            </w:pPr>
          </w:p>
        </w:tc>
        <w:tc>
          <w:tcPr>
            <w:tcW w:w="1875"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绩效指标</w:t>
            </w:r>
          </w:p>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明确性</w:t>
            </w:r>
          </w:p>
        </w:tc>
        <w:tc>
          <w:tcPr>
            <w:tcW w:w="3885" w:type="dxa"/>
            <w:tcBorders>
              <w:right w:val="single" w:color="auto" w:sz="4" w:space="0"/>
            </w:tcBorders>
            <w:shd w:val="clear" w:color="000000"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依据绩效目标设定的绩效指标是否清晰、细化、可衡量等，用以反映和考核项目绩效目标的明细化情况。</w:t>
            </w:r>
          </w:p>
        </w:tc>
        <w:tc>
          <w:tcPr>
            <w:tcW w:w="990" w:type="dxa"/>
            <w:tcBorders>
              <w:left w:val="single" w:color="auto" w:sz="4" w:space="0"/>
            </w:tcBorders>
            <w:shd w:val="clear" w:color="000000" w:fill="FFFFFF"/>
          </w:tcPr>
          <w:p>
            <w:pPr>
              <w:spacing w:line="600" w:lineRule="auto"/>
              <w:jc w:val="center"/>
              <w:rPr>
                <w:rFonts w:hint="default" w:eastAsia="仿宋_GB2312"/>
                <w:color w:val="auto"/>
                <w:lang w:val="en-US" w:eastAsia="zh-CN"/>
              </w:rPr>
            </w:pPr>
            <w:r>
              <w:rPr>
                <w:rFonts w:hint="eastAsia"/>
                <w:color w:val="auto"/>
                <w:lang w:val="en-US" w:eastAsia="zh-CN"/>
              </w:rPr>
              <w:t>3</w:t>
            </w:r>
          </w:p>
        </w:tc>
        <w:tc>
          <w:tcPr>
            <w:tcW w:w="874" w:type="dxa"/>
            <w:tcBorders>
              <w:bottom w:val="single" w:color="auto" w:sz="4" w:space="0"/>
            </w:tcBorders>
            <w:shd w:val="clear" w:color="000000" w:fill="FFFFFF"/>
          </w:tcPr>
          <w:p>
            <w:pPr>
              <w:spacing w:line="600" w:lineRule="auto"/>
              <w:jc w:val="center"/>
              <w:rPr>
                <w:rFonts w:hint="default" w:eastAsia="仿宋_GB2312"/>
                <w:color w:val="auto"/>
                <w:lang w:val="en-US" w:eastAsia="zh-CN"/>
              </w:rPr>
            </w:pPr>
            <w:r>
              <w:rPr>
                <w:rFonts w:hint="eastAsia"/>
                <w:color w:val="auto"/>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1" w:hRule="atLeast"/>
          <w:jc w:val="center"/>
        </w:trPr>
        <w:tc>
          <w:tcPr>
            <w:tcW w:w="757" w:type="dxa"/>
            <w:vMerge w:val="continue"/>
            <w:shd w:val="clear" w:color="auto" w:fill="FFFFFF"/>
            <w:vAlign w:val="center"/>
          </w:tcPr>
          <w:p>
            <w:pPr>
              <w:spacing w:line="0" w:lineRule="atLeast"/>
              <w:jc w:val="center"/>
              <w:rPr>
                <w:rFonts w:ascii="宋体" w:hAnsi="宋体" w:cs="宋体"/>
                <w:color w:val="auto"/>
                <w:kern w:val="0"/>
                <w:sz w:val="22"/>
              </w:rPr>
            </w:pPr>
          </w:p>
        </w:tc>
        <w:tc>
          <w:tcPr>
            <w:tcW w:w="1478" w:type="dxa"/>
            <w:vMerge w:val="restart"/>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资金投入</w:t>
            </w:r>
          </w:p>
          <w:p>
            <w:pPr>
              <w:spacing w:line="0" w:lineRule="atLeast"/>
              <w:jc w:val="center"/>
              <w:rPr>
                <w:rFonts w:ascii="宋体" w:hAnsi="宋体" w:cs="宋体"/>
                <w:color w:val="auto"/>
                <w:kern w:val="0"/>
                <w:sz w:val="22"/>
              </w:rPr>
            </w:pPr>
            <w:r>
              <w:rPr>
                <w:rFonts w:hint="eastAsia" w:ascii="宋体" w:hAnsi="宋体" w:cs="宋体"/>
                <w:color w:val="auto"/>
                <w:kern w:val="0"/>
                <w:sz w:val="22"/>
              </w:rPr>
              <w:t>　</w:t>
            </w:r>
          </w:p>
        </w:tc>
        <w:tc>
          <w:tcPr>
            <w:tcW w:w="1875"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预算编制</w:t>
            </w:r>
          </w:p>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科学性</w:t>
            </w:r>
          </w:p>
        </w:tc>
        <w:tc>
          <w:tcPr>
            <w:tcW w:w="3885"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项目预算编制是否经过科学论证、有明确标准，资金额度与年度目标是否相适应，用以反映和考核项目预算编制的科学性、合理性情况。</w:t>
            </w:r>
          </w:p>
        </w:tc>
        <w:tc>
          <w:tcPr>
            <w:tcW w:w="990" w:type="dxa"/>
            <w:tcBorders>
              <w:left w:val="single" w:color="auto" w:sz="4" w:space="0"/>
            </w:tcBorders>
            <w:shd w:val="clear" w:color="auto" w:fill="FFFFFF"/>
          </w:tcPr>
          <w:p>
            <w:pPr>
              <w:spacing w:line="600" w:lineRule="auto"/>
              <w:jc w:val="center"/>
              <w:rPr>
                <w:rFonts w:hint="eastAsia" w:eastAsia="仿宋_GB2312"/>
                <w:color w:val="auto"/>
                <w:lang w:val="en-US" w:eastAsia="zh-CN"/>
              </w:rPr>
            </w:pPr>
            <w:r>
              <w:rPr>
                <w:rFonts w:hint="eastAsia"/>
                <w:color w:val="auto"/>
                <w:lang w:val="en-US" w:eastAsia="zh-CN"/>
              </w:rPr>
              <w:t>3</w:t>
            </w:r>
          </w:p>
        </w:tc>
        <w:tc>
          <w:tcPr>
            <w:tcW w:w="874" w:type="dxa"/>
            <w:tcBorders>
              <w:bottom w:val="single" w:color="auto" w:sz="4" w:space="0"/>
            </w:tcBorders>
            <w:shd w:val="clear" w:color="auto" w:fill="FFFFFF"/>
          </w:tcPr>
          <w:p>
            <w:pPr>
              <w:spacing w:line="600" w:lineRule="auto"/>
              <w:jc w:val="center"/>
              <w:rPr>
                <w:rFonts w:hint="eastAsia" w:eastAsia="仿宋_GB2312"/>
                <w:color w:val="auto"/>
                <w:lang w:val="en-US" w:eastAsia="zh-CN"/>
              </w:rPr>
            </w:pPr>
            <w:r>
              <w:rPr>
                <w:rFonts w:hint="eastAsia"/>
                <w:color w:val="auto"/>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4" w:hRule="atLeast"/>
          <w:jc w:val="center"/>
        </w:trPr>
        <w:tc>
          <w:tcPr>
            <w:tcW w:w="757" w:type="dxa"/>
            <w:vMerge w:val="continue"/>
            <w:shd w:val="clear" w:color="auto" w:fill="FFFFFF"/>
            <w:vAlign w:val="center"/>
          </w:tcPr>
          <w:p>
            <w:pPr>
              <w:widowControl/>
              <w:spacing w:line="0" w:lineRule="atLeast"/>
              <w:jc w:val="center"/>
              <w:rPr>
                <w:rFonts w:ascii="宋体" w:hAnsi="宋体" w:cs="宋体"/>
                <w:color w:val="auto"/>
                <w:kern w:val="0"/>
                <w:sz w:val="22"/>
              </w:rPr>
            </w:pPr>
          </w:p>
        </w:tc>
        <w:tc>
          <w:tcPr>
            <w:tcW w:w="1478" w:type="dxa"/>
            <w:vMerge w:val="continue"/>
            <w:shd w:val="clear" w:color="auto" w:fill="FFFFFF"/>
            <w:vAlign w:val="center"/>
          </w:tcPr>
          <w:p>
            <w:pPr>
              <w:widowControl/>
              <w:spacing w:line="0" w:lineRule="atLeast"/>
              <w:jc w:val="center"/>
              <w:rPr>
                <w:rFonts w:ascii="宋体" w:hAnsi="宋体" w:cs="宋体"/>
                <w:color w:val="auto"/>
                <w:kern w:val="0"/>
                <w:sz w:val="22"/>
              </w:rPr>
            </w:pPr>
          </w:p>
        </w:tc>
        <w:tc>
          <w:tcPr>
            <w:tcW w:w="1875"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资金分配</w:t>
            </w:r>
          </w:p>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合理性</w:t>
            </w:r>
          </w:p>
        </w:tc>
        <w:tc>
          <w:tcPr>
            <w:tcW w:w="3885"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项目预算资金分配是否有测算依据，与补助单位或地方实际是否相适应，用以反映和考核项目预算资金分配的科学性、合理性情况。</w:t>
            </w:r>
          </w:p>
        </w:tc>
        <w:tc>
          <w:tcPr>
            <w:tcW w:w="990" w:type="dxa"/>
            <w:tcBorders>
              <w:left w:val="single" w:color="auto" w:sz="4" w:space="0"/>
            </w:tcBorders>
            <w:shd w:val="clear" w:color="auto" w:fill="FFFFFF"/>
          </w:tcPr>
          <w:p>
            <w:pPr>
              <w:spacing w:line="600" w:lineRule="auto"/>
              <w:jc w:val="center"/>
              <w:rPr>
                <w:rFonts w:hint="default" w:eastAsia="仿宋_GB2312"/>
                <w:color w:val="auto"/>
                <w:lang w:val="en-US" w:eastAsia="zh-CN"/>
              </w:rPr>
            </w:pPr>
            <w:r>
              <w:rPr>
                <w:rFonts w:hint="eastAsia"/>
                <w:color w:val="auto"/>
                <w:lang w:val="en-US" w:eastAsia="zh-CN"/>
              </w:rPr>
              <w:t>5</w:t>
            </w:r>
          </w:p>
        </w:tc>
        <w:tc>
          <w:tcPr>
            <w:tcW w:w="874" w:type="dxa"/>
            <w:shd w:val="clear" w:color="auto" w:fill="FFFFFF"/>
          </w:tcPr>
          <w:p>
            <w:pPr>
              <w:spacing w:line="600" w:lineRule="auto"/>
              <w:jc w:val="center"/>
              <w:rPr>
                <w:rFonts w:hint="default" w:eastAsia="仿宋_GB2312"/>
                <w:color w:val="auto"/>
                <w:lang w:val="en-US" w:eastAsia="zh-CN"/>
              </w:rPr>
            </w:pPr>
            <w:r>
              <w:rPr>
                <w:rFonts w:hint="eastAsia"/>
                <w:color w:val="auto"/>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8" w:hRule="atLeast"/>
          <w:jc w:val="center"/>
        </w:trPr>
        <w:tc>
          <w:tcPr>
            <w:tcW w:w="757" w:type="dxa"/>
            <w:vMerge w:val="restart"/>
            <w:shd w:val="clear" w:color="auto" w:fill="FFFFFF"/>
            <w:vAlign w:val="center"/>
          </w:tcPr>
          <w:p>
            <w:pPr>
              <w:spacing w:line="0" w:lineRule="atLeast"/>
              <w:jc w:val="center"/>
              <w:rPr>
                <w:rFonts w:ascii="宋体" w:hAnsi="宋体" w:cs="宋体"/>
                <w:color w:val="auto"/>
                <w:kern w:val="0"/>
                <w:sz w:val="22"/>
              </w:rPr>
            </w:pPr>
            <w:r>
              <w:rPr>
                <w:rFonts w:hint="eastAsia" w:ascii="宋体" w:hAnsi="宋体" w:cs="宋体"/>
                <w:color w:val="auto"/>
                <w:kern w:val="0"/>
                <w:sz w:val="22"/>
              </w:rPr>
              <w:t>过程</w:t>
            </w:r>
          </w:p>
        </w:tc>
        <w:tc>
          <w:tcPr>
            <w:tcW w:w="1478" w:type="dxa"/>
            <w:vMerge w:val="restart"/>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资金管理</w:t>
            </w:r>
          </w:p>
        </w:tc>
        <w:tc>
          <w:tcPr>
            <w:tcW w:w="1875"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资金到位率</w:t>
            </w:r>
          </w:p>
        </w:tc>
        <w:tc>
          <w:tcPr>
            <w:tcW w:w="3885" w:type="dxa"/>
            <w:tcBorders>
              <w:right w:val="single" w:color="auto" w:sz="4" w:space="0"/>
            </w:tcBorders>
            <w:shd w:val="clear" w:color="000000"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实际到位资金与预算资金的比率，用以反映和考核资金落实情况对项目实施的总体保障程度。</w:t>
            </w:r>
          </w:p>
        </w:tc>
        <w:tc>
          <w:tcPr>
            <w:tcW w:w="990" w:type="dxa"/>
            <w:tcBorders>
              <w:left w:val="single" w:color="auto" w:sz="4" w:space="0"/>
            </w:tcBorders>
            <w:shd w:val="clear" w:color="000000" w:fill="FFFFFF"/>
          </w:tcPr>
          <w:p>
            <w:pPr>
              <w:spacing w:line="600" w:lineRule="auto"/>
              <w:jc w:val="center"/>
              <w:rPr>
                <w:rFonts w:hint="default" w:eastAsia="仿宋_GB2312"/>
                <w:color w:val="auto"/>
                <w:lang w:val="en-US" w:eastAsia="zh-CN"/>
              </w:rPr>
            </w:pPr>
            <w:r>
              <w:rPr>
                <w:rFonts w:hint="eastAsia"/>
                <w:color w:val="auto"/>
                <w:lang w:val="en-US" w:eastAsia="zh-CN"/>
              </w:rPr>
              <w:t>4</w:t>
            </w:r>
          </w:p>
        </w:tc>
        <w:tc>
          <w:tcPr>
            <w:tcW w:w="874" w:type="dxa"/>
            <w:tcBorders>
              <w:bottom w:val="single" w:color="auto" w:sz="4" w:space="0"/>
            </w:tcBorders>
            <w:shd w:val="clear" w:color="000000" w:fill="FFFFFF"/>
          </w:tcPr>
          <w:p>
            <w:pPr>
              <w:spacing w:line="600" w:lineRule="auto"/>
              <w:jc w:val="center"/>
              <w:rPr>
                <w:rFonts w:hint="default" w:eastAsia="仿宋_GB2312"/>
                <w:color w:val="auto"/>
                <w:lang w:val="en-US" w:eastAsia="zh-CN"/>
              </w:rPr>
            </w:pPr>
            <w:r>
              <w:rPr>
                <w:rFonts w:hint="eastAsia"/>
                <w:color w:val="auto"/>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2" w:hRule="atLeast"/>
          <w:jc w:val="center"/>
        </w:trPr>
        <w:tc>
          <w:tcPr>
            <w:tcW w:w="757" w:type="dxa"/>
            <w:vMerge w:val="continue"/>
            <w:shd w:val="clear" w:color="auto" w:fill="FFFFFF"/>
            <w:vAlign w:val="center"/>
          </w:tcPr>
          <w:p>
            <w:pPr>
              <w:spacing w:line="0" w:lineRule="atLeast"/>
              <w:jc w:val="center"/>
              <w:rPr>
                <w:rFonts w:ascii="宋体" w:hAnsi="宋体" w:cs="宋体"/>
                <w:color w:val="auto"/>
                <w:kern w:val="0"/>
                <w:sz w:val="22"/>
              </w:rPr>
            </w:pPr>
          </w:p>
        </w:tc>
        <w:tc>
          <w:tcPr>
            <w:tcW w:w="1478" w:type="dxa"/>
            <w:vMerge w:val="continue"/>
            <w:shd w:val="clear" w:color="auto" w:fill="FFFFFF"/>
            <w:vAlign w:val="center"/>
          </w:tcPr>
          <w:p>
            <w:pPr>
              <w:spacing w:line="0" w:lineRule="atLeast"/>
              <w:jc w:val="center"/>
              <w:rPr>
                <w:rFonts w:ascii="宋体" w:hAnsi="宋体" w:cs="宋体"/>
                <w:color w:val="auto"/>
                <w:kern w:val="0"/>
                <w:sz w:val="22"/>
              </w:rPr>
            </w:pPr>
          </w:p>
        </w:tc>
        <w:tc>
          <w:tcPr>
            <w:tcW w:w="1875"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预算执行率</w:t>
            </w:r>
          </w:p>
        </w:tc>
        <w:tc>
          <w:tcPr>
            <w:tcW w:w="3885"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项目预算资金是否按照计划执行，用以反映或考核项目预算执行情况</w:t>
            </w:r>
          </w:p>
        </w:tc>
        <w:tc>
          <w:tcPr>
            <w:tcW w:w="990" w:type="dxa"/>
            <w:tcBorders>
              <w:left w:val="single" w:color="auto" w:sz="4" w:space="0"/>
            </w:tcBorders>
            <w:shd w:val="clear" w:color="auto" w:fill="FFFFFF"/>
          </w:tcPr>
          <w:p>
            <w:pPr>
              <w:spacing w:line="600" w:lineRule="auto"/>
              <w:jc w:val="center"/>
              <w:rPr>
                <w:rFonts w:hint="default" w:eastAsia="仿宋_GB2312"/>
                <w:color w:val="auto"/>
                <w:lang w:val="en-US" w:eastAsia="zh-CN"/>
              </w:rPr>
            </w:pPr>
            <w:r>
              <w:rPr>
                <w:rFonts w:hint="eastAsia"/>
                <w:color w:val="auto"/>
                <w:lang w:val="en-US" w:eastAsia="zh-CN"/>
              </w:rPr>
              <w:t>4</w:t>
            </w:r>
          </w:p>
        </w:tc>
        <w:tc>
          <w:tcPr>
            <w:tcW w:w="874" w:type="dxa"/>
            <w:tcBorders>
              <w:bottom w:val="single" w:color="auto" w:sz="4" w:space="0"/>
            </w:tcBorders>
            <w:shd w:val="clear" w:color="auto" w:fill="FFFFFF"/>
          </w:tcPr>
          <w:p>
            <w:pPr>
              <w:spacing w:line="600" w:lineRule="auto"/>
              <w:jc w:val="center"/>
              <w:rPr>
                <w:rFonts w:hint="default" w:eastAsia="仿宋_GB2312"/>
                <w:color w:val="auto"/>
                <w:lang w:val="en-US" w:eastAsia="zh-CN"/>
              </w:rPr>
            </w:pPr>
            <w:r>
              <w:rPr>
                <w:rFonts w:hint="eastAsia"/>
                <w:color w:val="auto"/>
                <w:highlight w:val="none"/>
                <w:lang w:val="en-US" w:eastAsia="zh-CN"/>
              </w:rPr>
              <w:t>3.29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7" w:hRule="atLeast"/>
          <w:jc w:val="center"/>
        </w:trPr>
        <w:tc>
          <w:tcPr>
            <w:tcW w:w="757" w:type="dxa"/>
            <w:vMerge w:val="continue"/>
            <w:shd w:val="clear" w:color="auto" w:fill="FFFFFF"/>
            <w:vAlign w:val="center"/>
          </w:tcPr>
          <w:p>
            <w:pPr>
              <w:spacing w:line="0" w:lineRule="atLeast"/>
              <w:jc w:val="center"/>
              <w:rPr>
                <w:rFonts w:ascii="宋体" w:hAnsi="宋体" w:cs="宋体"/>
                <w:color w:val="auto"/>
                <w:kern w:val="0"/>
                <w:sz w:val="22"/>
              </w:rPr>
            </w:pPr>
          </w:p>
        </w:tc>
        <w:tc>
          <w:tcPr>
            <w:tcW w:w="1478" w:type="dxa"/>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资金管理</w:t>
            </w:r>
          </w:p>
        </w:tc>
        <w:tc>
          <w:tcPr>
            <w:tcW w:w="1875"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资金使用</w:t>
            </w:r>
          </w:p>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合规性</w:t>
            </w:r>
          </w:p>
        </w:tc>
        <w:tc>
          <w:tcPr>
            <w:tcW w:w="3885" w:type="dxa"/>
            <w:tcBorders>
              <w:right w:val="single" w:color="auto" w:sz="4" w:space="0"/>
            </w:tcBorders>
            <w:shd w:val="clear" w:color="000000"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项目资金使用是否符合相关的财务管理制度规定，用以反映和考核项目资金的规范运行情况。</w:t>
            </w:r>
          </w:p>
        </w:tc>
        <w:tc>
          <w:tcPr>
            <w:tcW w:w="990" w:type="dxa"/>
            <w:tcBorders>
              <w:left w:val="single" w:color="auto" w:sz="4" w:space="0"/>
            </w:tcBorders>
            <w:shd w:val="clear" w:color="000000" w:fill="FFFFFF"/>
          </w:tcPr>
          <w:p>
            <w:pPr>
              <w:spacing w:line="600" w:lineRule="auto"/>
              <w:jc w:val="center"/>
              <w:rPr>
                <w:rFonts w:hint="eastAsia" w:eastAsia="仿宋_GB2312"/>
                <w:color w:val="auto"/>
                <w:lang w:val="en-US" w:eastAsia="zh-CN"/>
              </w:rPr>
            </w:pPr>
            <w:r>
              <w:rPr>
                <w:rFonts w:hint="eastAsia"/>
                <w:color w:val="auto"/>
                <w:lang w:val="en-US" w:eastAsia="zh-CN"/>
              </w:rPr>
              <w:t>4</w:t>
            </w:r>
          </w:p>
        </w:tc>
        <w:tc>
          <w:tcPr>
            <w:tcW w:w="874" w:type="dxa"/>
            <w:tcBorders>
              <w:bottom w:val="single" w:color="auto" w:sz="4" w:space="0"/>
            </w:tcBorders>
            <w:shd w:val="clear" w:color="000000" w:fill="FFFFFF"/>
          </w:tcPr>
          <w:p>
            <w:pPr>
              <w:spacing w:line="600" w:lineRule="auto"/>
              <w:jc w:val="center"/>
              <w:rPr>
                <w:rFonts w:hint="eastAsia" w:eastAsia="仿宋_GB2312"/>
                <w:color w:val="auto"/>
                <w:lang w:val="en-US" w:eastAsia="zh-CN"/>
              </w:rPr>
            </w:pPr>
            <w:r>
              <w:rPr>
                <w:rFonts w:hint="eastAsia"/>
                <w:color w:val="auto"/>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6" w:hRule="atLeast"/>
          <w:jc w:val="center"/>
        </w:trPr>
        <w:tc>
          <w:tcPr>
            <w:tcW w:w="757" w:type="dxa"/>
            <w:vMerge w:val="continue"/>
            <w:shd w:val="clear" w:color="auto" w:fill="FFFFFF"/>
            <w:vAlign w:val="center"/>
          </w:tcPr>
          <w:p>
            <w:pPr>
              <w:spacing w:line="0" w:lineRule="atLeast"/>
              <w:jc w:val="center"/>
              <w:rPr>
                <w:rFonts w:ascii="宋体" w:hAnsi="宋体" w:cs="宋体"/>
                <w:color w:val="auto"/>
                <w:kern w:val="0"/>
                <w:sz w:val="22"/>
              </w:rPr>
            </w:pPr>
          </w:p>
        </w:tc>
        <w:tc>
          <w:tcPr>
            <w:tcW w:w="1478" w:type="dxa"/>
            <w:vMerge w:val="restart"/>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组织实施</w:t>
            </w:r>
          </w:p>
          <w:p>
            <w:pPr>
              <w:spacing w:line="0" w:lineRule="atLeast"/>
              <w:jc w:val="center"/>
              <w:rPr>
                <w:rFonts w:ascii="宋体" w:hAnsi="宋体" w:cs="宋体"/>
                <w:color w:val="auto"/>
                <w:kern w:val="0"/>
                <w:sz w:val="22"/>
              </w:rPr>
            </w:pPr>
            <w:r>
              <w:rPr>
                <w:rFonts w:hint="eastAsia" w:ascii="宋体" w:hAnsi="宋体" w:cs="宋体"/>
                <w:color w:val="auto"/>
                <w:kern w:val="0"/>
                <w:sz w:val="22"/>
              </w:rPr>
              <w:t>　</w:t>
            </w:r>
          </w:p>
        </w:tc>
        <w:tc>
          <w:tcPr>
            <w:tcW w:w="1875"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管理制度</w:t>
            </w:r>
          </w:p>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健全性</w:t>
            </w:r>
          </w:p>
        </w:tc>
        <w:tc>
          <w:tcPr>
            <w:tcW w:w="3885" w:type="dxa"/>
            <w:tcBorders>
              <w:right w:val="single" w:color="auto" w:sz="4" w:space="0"/>
            </w:tcBorders>
            <w:shd w:val="clear" w:color="000000"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项目实施单位的财务和业务管理制度是否健全，用以反映和考核财务和业务管理制度对项目顺利实施的保障情况。</w:t>
            </w:r>
          </w:p>
        </w:tc>
        <w:tc>
          <w:tcPr>
            <w:tcW w:w="990" w:type="dxa"/>
            <w:tcBorders>
              <w:left w:val="single" w:color="auto" w:sz="4" w:space="0"/>
            </w:tcBorders>
            <w:shd w:val="clear" w:color="000000" w:fill="FFFFFF"/>
          </w:tcPr>
          <w:p>
            <w:pPr>
              <w:spacing w:line="600" w:lineRule="auto"/>
              <w:jc w:val="center"/>
              <w:rPr>
                <w:rFonts w:hint="eastAsia" w:eastAsia="仿宋_GB2312"/>
                <w:color w:val="auto"/>
                <w:lang w:val="en-US" w:eastAsia="zh-CN"/>
              </w:rPr>
            </w:pPr>
            <w:r>
              <w:rPr>
                <w:rFonts w:hint="eastAsia"/>
                <w:color w:val="auto"/>
                <w:lang w:val="en-US" w:eastAsia="zh-CN"/>
              </w:rPr>
              <w:t>4</w:t>
            </w:r>
          </w:p>
        </w:tc>
        <w:tc>
          <w:tcPr>
            <w:tcW w:w="874" w:type="dxa"/>
            <w:tcBorders>
              <w:bottom w:val="single" w:color="auto" w:sz="4" w:space="0"/>
            </w:tcBorders>
            <w:shd w:val="clear" w:color="000000" w:fill="FFFFFF"/>
          </w:tcPr>
          <w:p>
            <w:pPr>
              <w:spacing w:line="600" w:lineRule="auto"/>
              <w:jc w:val="center"/>
              <w:rPr>
                <w:rFonts w:hint="eastAsia" w:eastAsia="仿宋_GB2312"/>
                <w:color w:val="auto"/>
                <w:lang w:val="en-US" w:eastAsia="zh-CN"/>
              </w:rPr>
            </w:pPr>
            <w:r>
              <w:rPr>
                <w:rFonts w:hint="eastAsia"/>
                <w:color w:val="auto"/>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77" w:hRule="atLeast"/>
          <w:jc w:val="center"/>
        </w:trPr>
        <w:tc>
          <w:tcPr>
            <w:tcW w:w="757" w:type="dxa"/>
            <w:vMerge w:val="continue"/>
            <w:shd w:val="clear" w:color="auto" w:fill="FFFFFF"/>
            <w:vAlign w:val="center"/>
          </w:tcPr>
          <w:p>
            <w:pPr>
              <w:widowControl/>
              <w:spacing w:line="0" w:lineRule="atLeast"/>
              <w:jc w:val="center"/>
              <w:rPr>
                <w:rFonts w:ascii="宋体" w:hAnsi="宋体" w:cs="宋体"/>
                <w:color w:val="auto"/>
                <w:kern w:val="0"/>
                <w:sz w:val="22"/>
              </w:rPr>
            </w:pPr>
          </w:p>
        </w:tc>
        <w:tc>
          <w:tcPr>
            <w:tcW w:w="1478" w:type="dxa"/>
            <w:vMerge w:val="continue"/>
            <w:shd w:val="clear" w:color="auto" w:fill="FFFFFF"/>
            <w:vAlign w:val="center"/>
          </w:tcPr>
          <w:p>
            <w:pPr>
              <w:widowControl/>
              <w:spacing w:line="0" w:lineRule="atLeast"/>
              <w:jc w:val="center"/>
              <w:rPr>
                <w:rFonts w:ascii="宋体" w:hAnsi="宋体" w:cs="宋体"/>
                <w:color w:val="auto"/>
                <w:kern w:val="0"/>
                <w:sz w:val="22"/>
              </w:rPr>
            </w:pPr>
          </w:p>
        </w:tc>
        <w:tc>
          <w:tcPr>
            <w:tcW w:w="1875"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制度执行</w:t>
            </w:r>
          </w:p>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有效性</w:t>
            </w:r>
          </w:p>
        </w:tc>
        <w:tc>
          <w:tcPr>
            <w:tcW w:w="3885" w:type="dxa"/>
            <w:tcBorders>
              <w:right w:val="single" w:color="auto" w:sz="4" w:space="0"/>
            </w:tcBorders>
            <w:shd w:val="clear" w:color="000000"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项目实施是否符合相关管理规定，用以反映和考核相关管理制度的有效执行情况。</w:t>
            </w:r>
          </w:p>
        </w:tc>
        <w:tc>
          <w:tcPr>
            <w:tcW w:w="990" w:type="dxa"/>
            <w:tcBorders>
              <w:left w:val="single" w:color="auto" w:sz="4" w:space="0"/>
            </w:tcBorders>
            <w:shd w:val="clear" w:color="000000" w:fill="FFFFFF"/>
          </w:tcPr>
          <w:p>
            <w:pPr>
              <w:spacing w:line="600" w:lineRule="auto"/>
              <w:jc w:val="center"/>
              <w:rPr>
                <w:rFonts w:hint="eastAsia" w:eastAsia="仿宋_GB2312"/>
                <w:color w:val="auto"/>
                <w:lang w:val="en-US" w:eastAsia="zh-CN"/>
              </w:rPr>
            </w:pPr>
            <w:r>
              <w:rPr>
                <w:rFonts w:hint="eastAsia"/>
                <w:color w:val="auto"/>
                <w:lang w:val="en-US" w:eastAsia="zh-CN"/>
              </w:rPr>
              <w:t>4</w:t>
            </w:r>
          </w:p>
        </w:tc>
        <w:tc>
          <w:tcPr>
            <w:tcW w:w="874" w:type="dxa"/>
            <w:tcBorders>
              <w:bottom w:val="single" w:color="auto" w:sz="4" w:space="0"/>
            </w:tcBorders>
            <w:shd w:val="clear" w:color="000000" w:fill="FFFFFF"/>
          </w:tcPr>
          <w:p>
            <w:pPr>
              <w:spacing w:line="600" w:lineRule="auto"/>
              <w:jc w:val="center"/>
              <w:rPr>
                <w:rFonts w:hint="eastAsia" w:eastAsia="仿宋_GB2312"/>
                <w:color w:val="auto"/>
                <w:lang w:val="en-US" w:eastAsia="zh-CN"/>
              </w:rPr>
            </w:pPr>
            <w:r>
              <w:rPr>
                <w:rFonts w:hint="eastAsia"/>
                <w:color w:val="auto"/>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6" w:hRule="atLeast"/>
          <w:jc w:val="center"/>
        </w:trPr>
        <w:tc>
          <w:tcPr>
            <w:tcW w:w="757" w:type="dxa"/>
            <w:vMerge w:val="restart"/>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产出</w:t>
            </w:r>
          </w:p>
        </w:tc>
        <w:tc>
          <w:tcPr>
            <w:tcW w:w="1478" w:type="dxa"/>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产出数量</w:t>
            </w:r>
          </w:p>
        </w:tc>
        <w:tc>
          <w:tcPr>
            <w:tcW w:w="1875"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实际完成率</w:t>
            </w:r>
          </w:p>
        </w:tc>
        <w:tc>
          <w:tcPr>
            <w:tcW w:w="3885" w:type="dxa"/>
            <w:tcBorders>
              <w:right w:val="single" w:color="auto" w:sz="4" w:space="0"/>
            </w:tcBorders>
            <w:shd w:val="clear" w:color="000000"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项目实施的实际产出数与计划产出数的比率，用以反映和考核项目产出数量目标的实现程度。</w:t>
            </w:r>
          </w:p>
        </w:tc>
        <w:tc>
          <w:tcPr>
            <w:tcW w:w="990" w:type="dxa"/>
            <w:tcBorders>
              <w:left w:val="single" w:color="auto" w:sz="4" w:space="0"/>
            </w:tcBorders>
            <w:shd w:val="clear" w:color="000000" w:fill="FFFFFF"/>
          </w:tcPr>
          <w:p>
            <w:pPr>
              <w:spacing w:line="600" w:lineRule="auto"/>
              <w:jc w:val="center"/>
              <w:rPr>
                <w:rFonts w:hint="default" w:eastAsia="仿宋_GB2312"/>
                <w:color w:val="auto"/>
                <w:lang w:val="en-US" w:eastAsia="zh-CN"/>
              </w:rPr>
            </w:pPr>
            <w:r>
              <w:rPr>
                <w:rFonts w:hint="eastAsia"/>
                <w:color w:val="auto"/>
                <w:lang w:val="en-US" w:eastAsia="zh-CN"/>
              </w:rPr>
              <w:t>20</w:t>
            </w:r>
          </w:p>
        </w:tc>
        <w:tc>
          <w:tcPr>
            <w:tcW w:w="874" w:type="dxa"/>
            <w:shd w:val="clear" w:color="000000" w:fill="FFFFFF"/>
          </w:tcPr>
          <w:p>
            <w:pPr>
              <w:spacing w:line="600" w:lineRule="auto"/>
              <w:jc w:val="center"/>
              <w:rPr>
                <w:rFonts w:hint="default" w:eastAsia="仿宋_GB2312"/>
                <w:color w:val="auto"/>
                <w:lang w:val="en-US" w:eastAsia="zh-CN"/>
              </w:rPr>
            </w:pPr>
            <w:r>
              <w:rPr>
                <w:rFonts w:hint="eastAsia"/>
                <w:color w:val="auto"/>
                <w:lang w:val="en-US" w:eastAsia="zh-CN"/>
              </w:rPr>
              <w:t>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jc w:val="center"/>
        </w:trPr>
        <w:tc>
          <w:tcPr>
            <w:tcW w:w="757" w:type="dxa"/>
            <w:vMerge w:val="continue"/>
            <w:shd w:val="clear" w:color="auto" w:fill="FFFFFF"/>
            <w:vAlign w:val="center"/>
          </w:tcPr>
          <w:p>
            <w:pPr>
              <w:widowControl/>
              <w:spacing w:line="0" w:lineRule="atLeast"/>
              <w:jc w:val="center"/>
              <w:rPr>
                <w:rFonts w:ascii="宋体" w:hAnsi="宋体" w:cs="宋体"/>
                <w:color w:val="auto"/>
                <w:kern w:val="0"/>
                <w:sz w:val="22"/>
              </w:rPr>
            </w:pPr>
          </w:p>
        </w:tc>
        <w:tc>
          <w:tcPr>
            <w:tcW w:w="1478" w:type="dxa"/>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产出质量</w:t>
            </w:r>
          </w:p>
        </w:tc>
        <w:tc>
          <w:tcPr>
            <w:tcW w:w="1875"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质量达标率</w:t>
            </w:r>
          </w:p>
        </w:tc>
        <w:tc>
          <w:tcPr>
            <w:tcW w:w="3885" w:type="dxa"/>
            <w:tcBorders>
              <w:right w:val="single" w:color="auto" w:sz="4" w:space="0"/>
            </w:tcBorders>
            <w:shd w:val="clear" w:color="000000"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项目完成的质量达标产出数与实际产出数的比率，用以反映和考核项目产出质量目标的实现程度。</w:t>
            </w:r>
          </w:p>
        </w:tc>
        <w:tc>
          <w:tcPr>
            <w:tcW w:w="990" w:type="dxa"/>
            <w:tcBorders>
              <w:left w:val="single" w:color="auto" w:sz="4" w:space="0"/>
            </w:tcBorders>
            <w:shd w:val="clear" w:color="000000" w:fill="FFFFFF"/>
          </w:tcPr>
          <w:p>
            <w:pPr>
              <w:spacing w:line="600" w:lineRule="auto"/>
              <w:jc w:val="center"/>
              <w:rPr>
                <w:rFonts w:hint="default" w:eastAsia="仿宋_GB2312"/>
                <w:color w:val="auto"/>
                <w:lang w:val="en-US" w:eastAsia="zh-CN"/>
              </w:rPr>
            </w:pPr>
            <w:r>
              <w:rPr>
                <w:rFonts w:hint="eastAsia"/>
                <w:color w:val="auto"/>
                <w:lang w:val="en-US" w:eastAsia="zh-CN"/>
              </w:rPr>
              <w:t>10</w:t>
            </w:r>
          </w:p>
        </w:tc>
        <w:tc>
          <w:tcPr>
            <w:tcW w:w="874" w:type="dxa"/>
            <w:shd w:val="clear" w:color="000000" w:fill="FFFFFF"/>
          </w:tcPr>
          <w:p>
            <w:pPr>
              <w:spacing w:line="600" w:lineRule="auto"/>
              <w:jc w:val="center"/>
              <w:rPr>
                <w:rFonts w:hint="default" w:eastAsia="仿宋_GB2312"/>
                <w:color w:val="auto"/>
                <w:lang w:val="en-US" w:eastAsia="zh-CN"/>
              </w:rPr>
            </w:pPr>
            <w:r>
              <w:rPr>
                <w:rFonts w:hint="eastAsia"/>
                <w:color w:val="auto"/>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6" w:hRule="atLeast"/>
          <w:jc w:val="center"/>
        </w:trPr>
        <w:tc>
          <w:tcPr>
            <w:tcW w:w="757" w:type="dxa"/>
            <w:vMerge w:val="continue"/>
            <w:shd w:val="clear" w:color="auto" w:fill="FFFFFF"/>
            <w:vAlign w:val="center"/>
          </w:tcPr>
          <w:p>
            <w:pPr>
              <w:widowControl/>
              <w:spacing w:line="0" w:lineRule="atLeast"/>
              <w:jc w:val="center"/>
              <w:rPr>
                <w:rFonts w:ascii="宋体" w:hAnsi="宋体" w:cs="宋体"/>
                <w:color w:val="auto"/>
                <w:kern w:val="0"/>
                <w:sz w:val="22"/>
              </w:rPr>
            </w:pPr>
          </w:p>
        </w:tc>
        <w:tc>
          <w:tcPr>
            <w:tcW w:w="1478" w:type="dxa"/>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产出成本</w:t>
            </w:r>
          </w:p>
        </w:tc>
        <w:tc>
          <w:tcPr>
            <w:tcW w:w="1875"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成本节约率</w:t>
            </w:r>
          </w:p>
        </w:tc>
        <w:tc>
          <w:tcPr>
            <w:tcW w:w="3885"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完成项目计划工作目标的实际节约成本与计划成本的比率，用以反映和考核项目的成本节约程度。</w:t>
            </w:r>
          </w:p>
        </w:tc>
        <w:tc>
          <w:tcPr>
            <w:tcW w:w="990" w:type="dxa"/>
            <w:tcBorders>
              <w:left w:val="single" w:color="auto" w:sz="4" w:space="0"/>
            </w:tcBorders>
            <w:shd w:val="clear" w:color="auto" w:fill="FFFFFF"/>
          </w:tcPr>
          <w:p>
            <w:pPr>
              <w:spacing w:line="600" w:lineRule="auto"/>
              <w:jc w:val="center"/>
              <w:rPr>
                <w:rFonts w:hint="default" w:eastAsia="仿宋_GB2312"/>
                <w:color w:val="auto"/>
                <w:lang w:val="en-US" w:eastAsia="zh-CN"/>
              </w:rPr>
            </w:pPr>
            <w:r>
              <w:rPr>
                <w:rFonts w:hint="eastAsia"/>
                <w:color w:val="auto"/>
                <w:lang w:val="en-US" w:eastAsia="zh-CN"/>
              </w:rPr>
              <w:t>10</w:t>
            </w:r>
          </w:p>
        </w:tc>
        <w:tc>
          <w:tcPr>
            <w:tcW w:w="874" w:type="dxa"/>
            <w:shd w:val="clear" w:color="auto" w:fill="FFFFFF"/>
          </w:tcPr>
          <w:p>
            <w:pPr>
              <w:spacing w:line="600" w:lineRule="auto"/>
              <w:jc w:val="center"/>
              <w:rPr>
                <w:rFonts w:hint="default" w:eastAsia="仿宋_GB2312"/>
                <w:color w:val="auto"/>
                <w:lang w:val="en-US" w:eastAsia="zh-CN"/>
              </w:rPr>
            </w:pPr>
            <w:r>
              <w:rPr>
                <w:rFonts w:hint="eastAsia"/>
                <w:color w:val="auto"/>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5" w:hRule="atLeast"/>
          <w:jc w:val="center"/>
        </w:trPr>
        <w:tc>
          <w:tcPr>
            <w:tcW w:w="757" w:type="dxa"/>
            <w:vMerge w:val="restart"/>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效益　</w:t>
            </w:r>
          </w:p>
        </w:tc>
        <w:tc>
          <w:tcPr>
            <w:tcW w:w="1478" w:type="dxa"/>
            <w:vMerge w:val="restart"/>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项目效益　</w:t>
            </w:r>
          </w:p>
        </w:tc>
        <w:tc>
          <w:tcPr>
            <w:tcW w:w="1875"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实施效益</w:t>
            </w:r>
          </w:p>
        </w:tc>
        <w:tc>
          <w:tcPr>
            <w:tcW w:w="3885"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项目实施所产生的效益。</w:t>
            </w:r>
          </w:p>
        </w:tc>
        <w:tc>
          <w:tcPr>
            <w:tcW w:w="990" w:type="dxa"/>
            <w:tcBorders>
              <w:left w:val="single" w:color="auto" w:sz="4" w:space="0"/>
            </w:tcBorders>
            <w:shd w:val="clear" w:color="auto" w:fill="FFFFFF"/>
          </w:tcPr>
          <w:p>
            <w:pPr>
              <w:spacing w:line="600" w:lineRule="auto"/>
              <w:jc w:val="center"/>
              <w:rPr>
                <w:rFonts w:hint="default" w:eastAsia="仿宋_GB2312"/>
                <w:color w:val="auto"/>
                <w:lang w:val="en-US" w:eastAsia="zh-CN"/>
              </w:rPr>
            </w:pPr>
            <w:r>
              <w:rPr>
                <w:rFonts w:hint="eastAsia"/>
                <w:color w:val="auto"/>
                <w:lang w:val="en-US" w:eastAsia="zh-CN"/>
              </w:rPr>
              <w:t>10</w:t>
            </w:r>
          </w:p>
        </w:tc>
        <w:tc>
          <w:tcPr>
            <w:tcW w:w="874" w:type="dxa"/>
            <w:shd w:val="clear" w:color="auto" w:fill="FFFFFF"/>
          </w:tcPr>
          <w:p>
            <w:pPr>
              <w:spacing w:line="600" w:lineRule="auto"/>
              <w:jc w:val="center"/>
              <w:rPr>
                <w:rFonts w:hint="default" w:eastAsia="仿宋_GB2312"/>
                <w:color w:val="auto"/>
                <w:lang w:val="en-US" w:eastAsia="zh-CN"/>
              </w:rPr>
            </w:pPr>
            <w:r>
              <w:rPr>
                <w:rFonts w:hint="eastAsia"/>
                <w:color w:val="auto"/>
                <w:highlight w:val="none"/>
                <w:lang w:val="en-US" w:eastAsia="zh-CN"/>
              </w:rPr>
              <w:t>8.07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jc w:val="center"/>
        </w:trPr>
        <w:tc>
          <w:tcPr>
            <w:tcW w:w="757" w:type="dxa"/>
            <w:vMerge w:val="continue"/>
            <w:shd w:val="clear" w:color="auto" w:fill="FFFFFF"/>
            <w:vAlign w:val="center"/>
          </w:tcPr>
          <w:p>
            <w:pPr>
              <w:widowControl/>
              <w:spacing w:line="0" w:lineRule="atLeast"/>
              <w:jc w:val="center"/>
              <w:rPr>
                <w:rFonts w:ascii="宋体" w:hAnsi="宋体" w:cs="宋体"/>
                <w:color w:val="auto"/>
                <w:kern w:val="0"/>
                <w:sz w:val="22"/>
              </w:rPr>
            </w:pPr>
          </w:p>
        </w:tc>
        <w:tc>
          <w:tcPr>
            <w:tcW w:w="1478" w:type="dxa"/>
            <w:vMerge w:val="continue"/>
            <w:shd w:val="clear" w:color="auto" w:fill="FFFFFF"/>
            <w:vAlign w:val="center"/>
          </w:tcPr>
          <w:p>
            <w:pPr>
              <w:widowControl/>
              <w:spacing w:line="0" w:lineRule="atLeast"/>
              <w:jc w:val="center"/>
              <w:rPr>
                <w:rFonts w:ascii="宋体" w:hAnsi="宋体" w:cs="宋体"/>
                <w:color w:val="auto"/>
                <w:kern w:val="0"/>
                <w:sz w:val="22"/>
              </w:rPr>
            </w:pPr>
          </w:p>
        </w:tc>
        <w:tc>
          <w:tcPr>
            <w:tcW w:w="1875"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满意度</w:t>
            </w:r>
          </w:p>
        </w:tc>
        <w:tc>
          <w:tcPr>
            <w:tcW w:w="3885" w:type="dxa"/>
            <w:tcBorders>
              <w:right w:val="single" w:color="auto" w:sz="4" w:space="0"/>
            </w:tcBorders>
            <w:shd w:val="clear" w:color="000000"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社会公众或服务对象对项目实施效果的满意程度。</w:t>
            </w:r>
          </w:p>
        </w:tc>
        <w:tc>
          <w:tcPr>
            <w:tcW w:w="990" w:type="dxa"/>
            <w:tcBorders>
              <w:left w:val="single" w:color="auto" w:sz="4" w:space="0"/>
            </w:tcBorders>
            <w:shd w:val="clear" w:color="000000" w:fill="FFFFFF"/>
          </w:tcPr>
          <w:p>
            <w:pPr>
              <w:spacing w:line="600" w:lineRule="auto"/>
              <w:jc w:val="center"/>
              <w:rPr>
                <w:rFonts w:hint="default" w:eastAsia="仿宋_GB2312"/>
                <w:color w:val="auto"/>
                <w:lang w:val="en-US" w:eastAsia="zh-CN"/>
              </w:rPr>
            </w:pPr>
            <w:r>
              <w:rPr>
                <w:rFonts w:hint="eastAsia"/>
                <w:color w:val="auto"/>
                <w:lang w:val="en-US" w:eastAsia="zh-CN"/>
              </w:rPr>
              <w:t>10</w:t>
            </w:r>
          </w:p>
        </w:tc>
        <w:tc>
          <w:tcPr>
            <w:tcW w:w="874" w:type="dxa"/>
            <w:shd w:val="clear" w:color="000000" w:fill="FFFFFF"/>
          </w:tcPr>
          <w:p>
            <w:pPr>
              <w:spacing w:line="600" w:lineRule="auto"/>
              <w:jc w:val="center"/>
              <w:rPr>
                <w:rFonts w:hint="default" w:eastAsia="仿宋_GB2312"/>
                <w:color w:val="auto"/>
                <w:lang w:val="en-US" w:eastAsia="zh-CN"/>
              </w:rPr>
            </w:pPr>
            <w:r>
              <w:rPr>
                <w:rFonts w:hint="eastAsia"/>
                <w:color w:val="auto"/>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2" w:hRule="atLeast"/>
          <w:jc w:val="center"/>
        </w:trPr>
        <w:tc>
          <w:tcPr>
            <w:tcW w:w="4110" w:type="dxa"/>
            <w:gridSpan w:val="3"/>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b/>
                <w:bCs/>
                <w:color w:val="auto"/>
                <w:kern w:val="0"/>
                <w:sz w:val="22"/>
              </w:rPr>
              <w:t>总分</w:t>
            </w:r>
          </w:p>
        </w:tc>
        <w:tc>
          <w:tcPr>
            <w:tcW w:w="3885" w:type="dxa"/>
            <w:tcBorders>
              <w:right w:val="single" w:color="auto" w:sz="4" w:space="0"/>
            </w:tcBorders>
            <w:shd w:val="clear" w:color="auto" w:fill="FFFFFF"/>
          </w:tcPr>
          <w:p>
            <w:pPr>
              <w:widowControl/>
              <w:spacing w:line="0" w:lineRule="atLeast"/>
              <w:jc w:val="center"/>
              <w:rPr>
                <w:rFonts w:ascii="宋体" w:hAnsi="宋体" w:cs="宋体"/>
                <w:color w:val="auto"/>
                <w:kern w:val="0"/>
                <w:sz w:val="22"/>
              </w:rPr>
            </w:pPr>
          </w:p>
        </w:tc>
        <w:tc>
          <w:tcPr>
            <w:tcW w:w="990" w:type="dxa"/>
            <w:tcBorders>
              <w:left w:val="single" w:color="auto" w:sz="4" w:space="0"/>
            </w:tcBorders>
            <w:shd w:val="clear" w:color="auto" w:fill="FFFFFF"/>
            <w:vAlign w:val="center"/>
          </w:tcPr>
          <w:p>
            <w:pPr>
              <w:widowControl/>
              <w:spacing w:line="0" w:lineRule="atLeast"/>
              <w:jc w:val="center"/>
              <w:rPr>
                <w:rFonts w:hint="default" w:ascii="宋体" w:hAnsi="宋体" w:eastAsia="仿宋_GB2312" w:cs="宋体"/>
                <w:color w:val="auto"/>
                <w:kern w:val="0"/>
                <w:sz w:val="22"/>
                <w:lang w:val="en-US" w:eastAsia="zh-CN"/>
              </w:rPr>
            </w:pPr>
            <w:r>
              <w:rPr>
                <w:rFonts w:hint="eastAsia" w:ascii="宋体" w:hAnsi="宋体" w:cs="宋体"/>
                <w:color w:val="auto"/>
                <w:kern w:val="0"/>
                <w:sz w:val="22"/>
                <w:lang w:val="en-US" w:eastAsia="zh-CN"/>
              </w:rPr>
              <w:t xml:space="preserve"> </w:t>
            </w:r>
          </w:p>
        </w:tc>
        <w:tc>
          <w:tcPr>
            <w:tcW w:w="874" w:type="dxa"/>
            <w:shd w:val="clear" w:color="auto" w:fill="FFFFFF"/>
            <w:vAlign w:val="center"/>
          </w:tcPr>
          <w:p>
            <w:pPr>
              <w:widowControl/>
              <w:spacing w:line="0" w:lineRule="atLeast"/>
              <w:jc w:val="center"/>
              <w:rPr>
                <w:rFonts w:hint="default" w:ascii="宋体" w:hAnsi="宋体" w:eastAsia="仿宋_GB2312" w:cs="宋体"/>
                <w:color w:val="auto"/>
                <w:kern w:val="0"/>
                <w:sz w:val="22"/>
                <w:lang w:val="en-US" w:eastAsia="zh-CN"/>
              </w:rPr>
            </w:pPr>
            <w:r>
              <w:rPr>
                <w:rFonts w:hint="eastAsia" w:ascii="宋体" w:hAnsi="宋体" w:cs="宋体"/>
                <w:color w:val="auto"/>
                <w:kern w:val="0"/>
                <w:sz w:val="22"/>
                <w:lang w:val="en-US" w:eastAsia="zh-CN"/>
              </w:rPr>
              <w:t>91.36</w:t>
            </w:r>
          </w:p>
        </w:tc>
      </w:tr>
    </w:tbl>
    <w:p>
      <w:pPr>
        <w:spacing w:line="360" w:lineRule="auto"/>
        <w:rPr>
          <w:color w:val="auto"/>
        </w:rPr>
      </w:pPr>
      <w:r>
        <w:rPr>
          <w:rFonts w:hint="eastAsia"/>
          <w:color w:val="auto"/>
        </w:rPr>
        <w:t>3、评价方法</w:t>
      </w:r>
    </w:p>
    <w:p>
      <w:pPr>
        <w:spacing w:line="360" w:lineRule="auto"/>
        <w:ind w:firstLine="640" w:firstLineChars="200"/>
        <w:rPr>
          <w:bCs/>
          <w:color w:val="auto"/>
          <w:sz w:val="32"/>
          <w:szCs w:val="32"/>
        </w:rPr>
      </w:pPr>
      <w:r>
        <w:rPr>
          <w:rFonts w:hint="eastAsia"/>
          <w:bCs/>
          <w:color w:val="auto"/>
          <w:sz w:val="32"/>
          <w:szCs w:val="32"/>
        </w:rPr>
        <w:t>财政和部门评价的方法主要包括成本效益分析法、比较法、因素分析法、最低成本法、公众评判法、标杆管理法等。根据评价对象的具体情况，可采用一种或多种方法。</w:t>
      </w:r>
    </w:p>
    <w:p>
      <w:pPr>
        <w:spacing w:line="360" w:lineRule="auto"/>
        <w:ind w:firstLine="640" w:firstLineChars="200"/>
        <w:rPr>
          <w:bCs/>
          <w:color w:val="auto"/>
          <w:sz w:val="32"/>
          <w:szCs w:val="32"/>
        </w:rPr>
      </w:pPr>
      <w:r>
        <w:rPr>
          <w:rFonts w:hint="eastAsia"/>
          <w:bCs/>
          <w:color w:val="auto"/>
          <w:sz w:val="32"/>
          <w:szCs w:val="32"/>
        </w:rPr>
        <w:t>（一）成本效益分析法。是指将投入与产出、效益进行关联性分析的</w:t>
      </w:r>
      <w:r>
        <w:rPr>
          <w:bCs/>
          <w:color w:val="auto"/>
          <w:sz w:val="32"/>
          <w:szCs w:val="32"/>
        </w:rPr>
        <w:t>方法</w:t>
      </w:r>
      <w:r>
        <w:rPr>
          <w:rFonts w:hint="eastAsia"/>
          <w:bCs/>
          <w:color w:val="auto"/>
          <w:sz w:val="32"/>
          <w:szCs w:val="32"/>
        </w:rPr>
        <w:t xml:space="preserve">。 </w:t>
      </w:r>
    </w:p>
    <w:p>
      <w:pPr>
        <w:spacing w:line="360" w:lineRule="auto"/>
        <w:ind w:firstLine="640" w:firstLineChars="200"/>
        <w:rPr>
          <w:bCs/>
          <w:color w:val="auto"/>
          <w:sz w:val="32"/>
          <w:szCs w:val="32"/>
        </w:rPr>
      </w:pPr>
      <w:r>
        <w:rPr>
          <w:rFonts w:hint="eastAsia"/>
          <w:bCs/>
          <w:color w:val="auto"/>
          <w:sz w:val="32"/>
          <w:szCs w:val="32"/>
        </w:rPr>
        <w:t>（二）比较法。是指将实施情况与绩效目标、历史情况、不同部门和地区同类支出情况进行比较的</w:t>
      </w:r>
      <w:r>
        <w:rPr>
          <w:bCs/>
          <w:color w:val="auto"/>
          <w:sz w:val="32"/>
          <w:szCs w:val="32"/>
        </w:rPr>
        <w:t>方法</w:t>
      </w:r>
      <w:r>
        <w:rPr>
          <w:rFonts w:hint="eastAsia"/>
          <w:bCs/>
          <w:color w:val="auto"/>
          <w:sz w:val="32"/>
          <w:szCs w:val="32"/>
        </w:rPr>
        <w:t>。</w:t>
      </w:r>
    </w:p>
    <w:p>
      <w:pPr>
        <w:spacing w:line="360" w:lineRule="auto"/>
        <w:ind w:firstLine="640" w:firstLineChars="200"/>
        <w:rPr>
          <w:bCs/>
          <w:color w:val="auto"/>
          <w:sz w:val="32"/>
          <w:szCs w:val="32"/>
        </w:rPr>
      </w:pPr>
      <w:r>
        <w:rPr>
          <w:rFonts w:hint="eastAsia"/>
          <w:bCs/>
          <w:color w:val="auto"/>
          <w:sz w:val="32"/>
          <w:szCs w:val="32"/>
        </w:rPr>
        <w:t>（三）因素分析法。是指综合分析影响绩效目标实现、实施效果的内外部因素的</w:t>
      </w:r>
      <w:r>
        <w:rPr>
          <w:bCs/>
          <w:color w:val="auto"/>
          <w:sz w:val="32"/>
          <w:szCs w:val="32"/>
        </w:rPr>
        <w:t>方法</w:t>
      </w:r>
      <w:r>
        <w:rPr>
          <w:rFonts w:hint="eastAsia"/>
          <w:bCs/>
          <w:color w:val="auto"/>
          <w:sz w:val="32"/>
          <w:szCs w:val="32"/>
        </w:rPr>
        <w:t>。</w:t>
      </w:r>
    </w:p>
    <w:p>
      <w:pPr>
        <w:spacing w:line="360" w:lineRule="auto"/>
        <w:ind w:firstLine="640" w:firstLineChars="200"/>
        <w:rPr>
          <w:bCs/>
          <w:color w:val="auto"/>
          <w:sz w:val="32"/>
          <w:szCs w:val="32"/>
        </w:rPr>
      </w:pPr>
      <w:r>
        <w:rPr>
          <w:rFonts w:hint="eastAsia"/>
          <w:bCs/>
          <w:color w:val="auto"/>
          <w:sz w:val="32"/>
          <w:szCs w:val="32"/>
        </w:rPr>
        <w:t>（四）最低成本法。是指在绩效目标确定的前提下，成本最小者为优的方法。</w:t>
      </w:r>
    </w:p>
    <w:p>
      <w:pPr>
        <w:spacing w:line="360" w:lineRule="auto"/>
        <w:ind w:firstLine="640" w:firstLineChars="200"/>
        <w:rPr>
          <w:bCs/>
          <w:color w:val="auto"/>
          <w:sz w:val="32"/>
          <w:szCs w:val="32"/>
        </w:rPr>
      </w:pPr>
      <w:r>
        <w:rPr>
          <w:rFonts w:hint="eastAsia"/>
          <w:bCs/>
          <w:color w:val="auto"/>
          <w:sz w:val="32"/>
          <w:szCs w:val="32"/>
        </w:rPr>
        <w:t>（五）公众评判法。是指通过专家评估、公众问卷及抽样调查等方式进行评判的</w:t>
      </w:r>
      <w:r>
        <w:rPr>
          <w:bCs/>
          <w:color w:val="auto"/>
          <w:sz w:val="32"/>
          <w:szCs w:val="32"/>
        </w:rPr>
        <w:t>方法</w:t>
      </w:r>
      <w:r>
        <w:rPr>
          <w:rFonts w:hint="eastAsia"/>
          <w:bCs/>
          <w:color w:val="auto"/>
          <w:sz w:val="32"/>
          <w:szCs w:val="32"/>
        </w:rPr>
        <w:t>。</w:t>
      </w:r>
    </w:p>
    <w:p>
      <w:pPr>
        <w:spacing w:line="360" w:lineRule="auto"/>
        <w:ind w:firstLine="640" w:firstLineChars="200"/>
        <w:rPr>
          <w:bCs/>
          <w:color w:val="auto"/>
          <w:sz w:val="32"/>
          <w:szCs w:val="32"/>
        </w:rPr>
      </w:pPr>
      <w:r>
        <w:rPr>
          <w:rFonts w:hint="eastAsia"/>
          <w:bCs/>
          <w:color w:val="auto"/>
          <w:sz w:val="32"/>
          <w:szCs w:val="32"/>
        </w:rPr>
        <w:t>（六）标杆管理法。是指以国内外同行业中较高的绩效水平为标杆进行评判</w:t>
      </w:r>
      <w:r>
        <w:rPr>
          <w:bCs/>
          <w:color w:val="auto"/>
          <w:sz w:val="32"/>
          <w:szCs w:val="32"/>
        </w:rPr>
        <w:t>的方法</w:t>
      </w:r>
      <w:r>
        <w:rPr>
          <w:rFonts w:hint="eastAsia"/>
          <w:bCs/>
          <w:color w:val="auto"/>
          <w:sz w:val="32"/>
          <w:szCs w:val="32"/>
        </w:rPr>
        <w:t>。</w:t>
      </w:r>
    </w:p>
    <w:p>
      <w:pPr>
        <w:spacing w:line="360" w:lineRule="auto"/>
        <w:ind w:firstLine="640" w:firstLineChars="200"/>
        <w:rPr>
          <w:bCs/>
          <w:color w:val="auto"/>
          <w:sz w:val="32"/>
          <w:szCs w:val="32"/>
        </w:rPr>
      </w:pPr>
      <w:r>
        <w:rPr>
          <w:rFonts w:hint="eastAsia"/>
          <w:bCs/>
          <w:color w:val="auto"/>
          <w:sz w:val="32"/>
          <w:szCs w:val="32"/>
        </w:rPr>
        <w:t>（七）其他评价方法。）</w:t>
      </w:r>
    </w:p>
    <w:p>
      <w:pPr>
        <w:spacing w:line="360" w:lineRule="auto"/>
        <w:ind w:firstLine="640" w:firstLineChars="200"/>
        <w:rPr>
          <w:color w:val="auto"/>
        </w:rPr>
      </w:pPr>
      <w:r>
        <w:rPr>
          <w:rFonts w:hint="eastAsia"/>
          <w:bCs/>
          <w:color w:val="auto"/>
          <w:sz w:val="32"/>
          <w:szCs w:val="32"/>
        </w:rPr>
        <w:t>例如：本次项目支出绩效自评采用</w:t>
      </w:r>
      <w:r>
        <w:rPr>
          <w:rFonts w:hint="eastAsia"/>
          <w:bCs/>
          <w:color w:val="auto"/>
          <w:sz w:val="32"/>
          <w:szCs w:val="32"/>
          <w:lang w:eastAsia="zh-CN"/>
        </w:rPr>
        <w:t>比较法</w:t>
      </w:r>
      <w:r>
        <w:rPr>
          <w:rFonts w:hint="eastAsia"/>
          <w:bCs/>
          <w:color w:val="auto"/>
          <w:sz w:val="32"/>
          <w:szCs w:val="32"/>
        </w:rPr>
        <w:t>方法，原因是：是指将实施情况与绩效目标、历史情况、不同部门和地区同类支出情况进行比较的</w:t>
      </w:r>
      <w:r>
        <w:rPr>
          <w:bCs/>
          <w:color w:val="auto"/>
          <w:sz w:val="32"/>
          <w:szCs w:val="32"/>
        </w:rPr>
        <w:t>方法</w:t>
      </w:r>
      <w:r>
        <w:rPr>
          <w:rFonts w:hint="eastAsia"/>
          <w:bCs/>
          <w:color w:val="auto"/>
          <w:sz w:val="32"/>
          <w:szCs w:val="32"/>
        </w:rPr>
        <w:t>。</w:t>
      </w:r>
    </w:p>
    <w:p>
      <w:pPr>
        <w:spacing w:line="360" w:lineRule="auto"/>
        <w:rPr>
          <w:color w:val="auto"/>
        </w:rPr>
      </w:pPr>
      <w:r>
        <w:rPr>
          <w:rFonts w:hint="eastAsia"/>
          <w:color w:val="auto"/>
        </w:rPr>
        <w:t>4、评价标准</w:t>
      </w:r>
    </w:p>
    <w:p>
      <w:pPr>
        <w:spacing w:line="360" w:lineRule="auto"/>
        <w:ind w:firstLine="640" w:firstLineChars="200"/>
        <w:rPr>
          <w:bCs/>
          <w:color w:val="auto"/>
          <w:sz w:val="32"/>
          <w:szCs w:val="32"/>
        </w:rPr>
      </w:pPr>
      <w:r>
        <w:rPr>
          <w:rFonts w:hint="eastAsia"/>
          <w:bCs/>
          <w:color w:val="auto"/>
          <w:sz w:val="32"/>
          <w:szCs w:val="32"/>
        </w:rPr>
        <w:t>（绩效评价标准通常包括计划标准、行业标准、历史标准等，用于对绩效指标完成情况进行比较。</w:t>
      </w:r>
    </w:p>
    <w:p>
      <w:pPr>
        <w:spacing w:line="360" w:lineRule="auto"/>
        <w:ind w:firstLine="640" w:firstLineChars="200"/>
        <w:rPr>
          <w:bCs/>
          <w:color w:val="auto"/>
          <w:sz w:val="32"/>
          <w:szCs w:val="32"/>
        </w:rPr>
      </w:pPr>
      <w:r>
        <w:rPr>
          <w:rFonts w:hint="eastAsia"/>
          <w:bCs/>
          <w:color w:val="auto"/>
          <w:sz w:val="32"/>
          <w:szCs w:val="32"/>
        </w:rPr>
        <w:t>（一）计划标准。指以预先制定的目标、计划、预算、定额等作为评价标准。</w:t>
      </w:r>
    </w:p>
    <w:p>
      <w:pPr>
        <w:spacing w:line="360" w:lineRule="auto"/>
        <w:ind w:firstLine="640" w:firstLineChars="200"/>
        <w:rPr>
          <w:bCs/>
          <w:color w:val="auto"/>
          <w:sz w:val="32"/>
          <w:szCs w:val="32"/>
        </w:rPr>
      </w:pPr>
      <w:r>
        <w:rPr>
          <w:rFonts w:hint="eastAsia"/>
          <w:bCs/>
          <w:color w:val="auto"/>
          <w:sz w:val="32"/>
          <w:szCs w:val="32"/>
        </w:rPr>
        <w:t>（二）行业标准。指参照国家公布的行业指标数据制定的评价标准。</w:t>
      </w:r>
    </w:p>
    <w:p>
      <w:pPr>
        <w:spacing w:line="360" w:lineRule="auto"/>
        <w:ind w:firstLine="640" w:firstLineChars="200"/>
        <w:rPr>
          <w:bCs/>
          <w:color w:val="auto"/>
          <w:sz w:val="32"/>
          <w:szCs w:val="32"/>
        </w:rPr>
      </w:pPr>
      <w:r>
        <w:rPr>
          <w:rFonts w:hint="eastAsia"/>
          <w:bCs/>
          <w:color w:val="auto"/>
          <w:sz w:val="32"/>
          <w:szCs w:val="32"/>
        </w:rPr>
        <w:t>（三）历史标准。指参照历史数据制定的评价标准，为体现绩效改进的原则，在可实现的条件下应当确定相对较高的评价标准。</w:t>
      </w:r>
    </w:p>
    <w:p>
      <w:pPr>
        <w:spacing w:line="360" w:lineRule="auto"/>
        <w:ind w:firstLine="640" w:firstLineChars="200"/>
        <w:rPr>
          <w:bCs/>
          <w:color w:val="auto"/>
          <w:sz w:val="32"/>
          <w:szCs w:val="32"/>
        </w:rPr>
      </w:pPr>
      <w:r>
        <w:rPr>
          <w:rFonts w:hint="eastAsia"/>
          <w:bCs/>
          <w:color w:val="auto"/>
          <w:sz w:val="32"/>
          <w:szCs w:val="32"/>
        </w:rPr>
        <w:t>（四）财政部门和预算部门确认或认可的其他标准。）</w:t>
      </w:r>
    </w:p>
    <w:p>
      <w:pPr>
        <w:spacing w:line="360" w:lineRule="auto"/>
        <w:ind w:firstLine="640" w:firstLineChars="200"/>
        <w:rPr>
          <w:rFonts w:hint="eastAsia" w:eastAsia="仿宋_GB2312"/>
          <w:bCs/>
          <w:color w:val="auto"/>
          <w:sz w:val="32"/>
          <w:szCs w:val="32"/>
          <w:lang w:eastAsia="zh-CN"/>
        </w:rPr>
      </w:pPr>
      <w:r>
        <w:rPr>
          <w:rFonts w:hint="eastAsia"/>
          <w:bCs/>
          <w:color w:val="auto"/>
          <w:sz w:val="32"/>
          <w:szCs w:val="32"/>
        </w:rPr>
        <w:t>例如：本次项目支出绩效自评采用</w:t>
      </w:r>
      <w:r>
        <w:rPr>
          <w:rFonts w:hint="eastAsia"/>
          <w:bCs/>
          <w:color w:val="auto"/>
          <w:sz w:val="32"/>
          <w:szCs w:val="32"/>
          <w:lang w:eastAsia="zh-CN"/>
        </w:rPr>
        <w:t>行业</w:t>
      </w:r>
      <w:r>
        <w:rPr>
          <w:rFonts w:hint="eastAsia"/>
          <w:bCs/>
          <w:color w:val="auto"/>
          <w:sz w:val="32"/>
          <w:szCs w:val="32"/>
        </w:rPr>
        <w:t>标准，原因是：</w:t>
      </w:r>
      <w:r>
        <w:rPr>
          <w:rFonts w:hint="eastAsia"/>
          <w:bCs/>
          <w:color w:val="auto"/>
          <w:sz w:val="32"/>
          <w:szCs w:val="32"/>
          <w:lang w:eastAsia="zh-CN"/>
        </w:rPr>
        <w:t>此项资金为教育专项资金，所以采用行业标准。</w:t>
      </w:r>
    </w:p>
    <w:p>
      <w:pPr>
        <w:pStyle w:val="4"/>
        <w:spacing w:line="360" w:lineRule="auto"/>
        <w:rPr>
          <w:rFonts w:ascii="仿宋_GB2312" w:eastAsia="仿宋_GB2312"/>
          <w:b w:val="0"/>
          <w:bCs w:val="0"/>
          <w:color w:val="auto"/>
        </w:rPr>
      </w:pPr>
      <w:bookmarkStart w:id="6" w:name="_Toc68703833"/>
      <w:r>
        <w:rPr>
          <w:rFonts w:hint="eastAsia" w:ascii="仿宋_GB2312" w:eastAsia="仿宋_GB2312"/>
          <w:b w:val="0"/>
          <w:bCs w:val="0"/>
          <w:color w:val="auto"/>
        </w:rPr>
        <w:t>（三）绩效评价工作过程。</w:t>
      </w:r>
      <w:bookmarkEnd w:id="6"/>
    </w:p>
    <w:p>
      <w:pPr>
        <w:spacing w:line="360" w:lineRule="auto"/>
        <w:rPr>
          <w:color w:val="auto"/>
        </w:rPr>
      </w:pPr>
      <w:r>
        <w:rPr>
          <w:rFonts w:hint="eastAsia"/>
          <w:color w:val="auto"/>
        </w:rPr>
        <w:t>1、前期准备：</w:t>
      </w:r>
    </w:p>
    <w:p>
      <w:pPr>
        <w:spacing w:line="360" w:lineRule="auto"/>
        <w:ind w:firstLine="600" w:firstLineChars="200"/>
        <w:rPr>
          <w:color w:val="auto"/>
        </w:rPr>
      </w:pPr>
      <w:r>
        <w:rPr>
          <w:rFonts w:hint="eastAsia"/>
          <w:color w:val="auto"/>
        </w:rPr>
        <w:t>2</w:t>
      </w:r>
      <w:r>
        <w:rPr>
          <w:color w:val="auto"/>
        </w:rPr>
        <w:t>02</w:t>
      </w:r>
      <w:r>
        <w:rPr>
          <w:rFonts w:hint="eastAsia"/>
          <w:color w:val="auto"/>
          <w:lang w:val="en-US" w:eastAsia="zh-CN"/>
        </w:rPr>
        <w:t>3</w:t>
      </w:r>
      <w:r>
        <w:rPr>
          <w:rFonts w:hint="eastAsia"/>
          <w:color w:val="auto"/>
        </w:rPr>
        <w:t>年</w:t>
      </w:r>
      <w:r>
        <w:rPr>
          <w:rFonts w:hint="eastAsia"/>
          <w:color w:val="auto"/>
          <w:lang w:val="en-US" w:eastAsia="zh-CN"/>
        </w:rPr>
        <w:t>1</w:t>
      </w:r>
      <w:r>
        <w:rPr>
          <w:rFonts w:hint="eastAsia"/>
          <w:color w:val="auto"/>
        </w:rPr>
        <w:t>月</w:t>
      </w:r>
      <w:r>
        <w:rPr>
          <w:rFonts w:hint="eastAsia"/>
          <w:color w:val="auto"/>
          <w:lang w:val="en-US" w:eastAsia="zh-CN"/>
        </w:rPr>
        <w:t>10</w:t>
      </w:r>
      <w:r>
        <w:rPr>
          <w:rFonts w:hint="eastAsia"/>
          <w:color w:val="auto"/>
        </w:rPr>
        <w:t>日，</w:t>
      </w:r>
      <w:r>
        <w:rPr>
          <w:rFonts w:hint="eastAsia" w:ascii="仿宋_GB2312"/>
          <w:color w:val="auto"/>
          <w:lang w:val="zh-CN"/>
        </w:rPr>
        <w:t>开始前期准备工作，评价组通过前期调研</w:t>
      </w:r>
      <w:r>
        <w:rPr>
          <w:rFonts w:hint="eastAsia"/>
          <w:color w:val="auto"/>
        </w:rPr>
        <w:t>确定绩效评价对象和范围，</w:t>
      </w:r>
      <w:r>
        <w:rPr>
          <w:rFonts w:hint="eastAsia" w:ascii="仿宋_GB2312"/>
          <w:color w:val="auto"/>
          <w:lang w:val="zh-CN"/>
        </w:rPr>
        <w:t>确定了评价的目的、方法以及评价的原则，根据项目的内容和特征制定了评价指标体系及评价标准以及评价实施方案，修正并确定所需资料清单，最终确定</w:t>
      </w:r>
      <w:r>
        <w:rPr>
          <w:rFonts w:hint="eastAsia"/>
          <w:color w:val="auto"/>
        </w:rPr>
        <w:t>绩效评价工作方案；</w:t>
      </w:r>
    </w:p>
    <w:p>
      <w:pPr>
        <w:spacing w:line="360" w:lineRule="auto"/>
        <w:rPr>
          <w:color w:val="auto"/>
        </w:rPr>
      </w:pPr>
      <w:r>
        <w:rPr>
          <w:color w:val="auto"/>
        </w:rPr>
        <w:t>2</w:t>
      </w:r>
      <w:r>
        <w:rPr>
          <w:rFonts w:hint="eastAsia"/>
          <w:color w:val="auto"/>
        </w:rPr>
        <w:t>、组织实施：</w:t>
      </w:r>
    </w:p>
    <w:p>
      <w:pPr>
        <w:spacing w:line="360" w:lineRule="auto"/>
        <w:ind w:firstLine="600" w:firstLineChars="200"/>
        <w:rPr>
          <w:color w:val="auto"/>
        </w:rPr>
      </w:pPr>
      <w:r>
        <w:rPr>
          <w:rFonts w:hint="eastAsia"/>
          <w:color w:val="auto"/>
        </w:rPr>
        <w:t>2</w:t>
      </w:r>
      <w:r>
        <w:rPr>
          <w:color w:val="auto"/>
        </w:rPr>
        <w:t>02</w:t>
      </w:r>
      <w:r>
        <w:rPr>
          <w:rFonts w:hint="eastAsia"/>
          <w:color w:val="auto"/>
          <w:lang w:val="en-US" w:eastAsia="zh-CN"/>
        </w:rPr>
        <w:t>3</w:t>
      </w:r>
      <w:r>
        <w:rPr>
          <w:rFonts w:hint="eastAsia"/>
          <w:color w:val="auto"/>
        </w:rPr>
        <w:t>年</w:t>
      </w:r>
      <w:r>
        <w:rPr>
          <w:rFonts w:hint="eastAsia"/>
          <w:color w:val="auto"/>
          <w:lang w:val="en-US" w:eastAsia="zh-CN"/>
        </w:rPr>
        <w:t>1</w:t>
      </w:r>
      <w:r>
        <w:rPr>
          <w:rFonts w:hint="eastAsia"/>
          <w:color w:val="auto"/>
        </w:rPr>
        <w:t>月</w:t>
      </w:r>
      <w:r>
        <w:rPr>
          <w:rFonts w:hint="eastAsia"/>
          <w:color w:val="auto"/>
          <w:lang w:val="en-US" w:eastAsia="zh-CN"/>
        </w:rPr>
        <w:t>1</w:t>
      </w:r>
      <w:r>
        <w:rPr>
          <w:rFonts w:hint="eastAsia"/>
          <w:color w:val="auto"/>
        </w:rPr>
        <w:t>日-</w:t>
      </w:r>
      <w:r>
        <w:rPr>
          <w:rFonts w:hint="eastAsia"/>
          <w:color w:val="auto"/>
          <w:lang w:val="en-US" w:eastAsia="zh-CN"/>
        </w:rPr>
        <w:t>12</w:t>
      </w:r>
      <w:r>
        <w:rPr>
          <w:rFonts w:hint="eastAsia"/>
          <w:color w:val="auto"/>
        </w:rPr>
        <w:t>月</w:t>
      </w:r>
      <w:r>
        <w:rPr>
          <w:rFonts w:hint="eastAsia"/>
          <w:color w:val="auto"/>
          <w:lang w:val="en-US" w:eastAsia="zh-CN"/>
        </w:rPr>
        <w:t>01</w:t>
      </w:r>
      <w:r>
        <w:rPr>
          <w:rFonts w:hint="eastAsia"/>
          <w:color w:val="auto"/>
        </w:rPr>
        <w:t>日，</w:t>
      </w:r>
      <w:r>
        <w:rPr>
          <w:rFonts w:hint="eastAsia" w:ascii="仿宋_GB2312"/>
          <w:color w:val="auto"/>
        </w:rPr>
        <w:t>评价工作进入实施阶段，评价组</w:t>
      </w:r>
      <w:r>
        <w:rPr>
          <w:rFonts w:hint="eastAsia"/>
          <w:color w:val="auto"/>
        </w:rPr>
        <w:t>收集绩效评价相关数据资料，进行现场调研、座谈；并</w:t>
      </w:r>
      <w:r>
        <w:rPr>
          <w:rFonts w:hint="eastAsia" w:ascii="仿宋_GB2312"/>
          <w:color w:val="auto"/>
        </w:rPr>
        <w:t>与项目实施负责人沟通，了解资金的内容、操作流程、管理机制、资金使用方向等情况</w:t>
      </w:r>
      <w:r>
        <w:rPr>
          <w:rFonts w:hint="eastAsia"/>
          <w:color w:val="auto"/>
        </w:rPr>
        <w:t>，</w:t>
      </w:r>
      <w:r>
        <w:rPr>
          <w:color w:val="auto"/>
        </w:rPr>
        <w:t>分析</w:t>
      </w:r>
      <w:r>
        <w:rPr>
          <w:rFonts w:hint="eastAsia"/>
          <w:color w:val="auto"/>
        </w:rPr>
        <w:t>形成初步结论。</w:t>
      </w:r>
      <w:r>
        <w:rPr>
          <w:color w:val="auto"/>
        </w:rPr>
        <w:t xml:space="preserve"> </w:t>
      </w:r>
    </w:p>
    <w:p>
      <w:pPr>
        <w:spacing w:line="360" w:lineRule="auto"/>
        <w:rPr>
          <w:color w:val="auto"/>
        </w:rPr>
      </w:pPr>
      <w:r>
        <w:rPr>
          <w:rFonts w:hint="eastAsia"/>
          <w:color w:val="auto"/>
        </w:rPr>
        <w:t>3、分析评价：</w:t>
      </w:r>
    </w:p>
    <w:p>
      <w:pPr>
        <w:spacing w:line="360" w:lineRule="auto"/>
        <w:ind w:firstLine="600" w:firstLineChars="200"/>
        <w:rPr>
          <w:rFonts w:ascii="仿宋_GB2312"/>
          <w:color w:val="auto"/>
        </w:rPr>
      </w:pPr>
      <w:r>
        <w:rPr>
          <w:rFonts w:hint="eastAsia"/>
          <w:color w:val="auto"/>
        </w:rPr>
        <w:t>202</w:t>
      </w:r>
      <w:r>
        <w:rPr>
          <w:rFonts w:hint="eastAsia"/>
          <w:color w:val="auto"/>
          <w:lang w:val="en-US" w:eastAsia="zh-CN"/>
        </w:rPr>
        <w:t>4</w:t>
      </w:r>
      <w:r>
        <w:rPr>
          <w:rFonts w:hint="eastAsia"/>
          <w:color w:val="auto"/>
        </w:rPr>
        <w:t>年</w:t>
      </w:r>
      <w:r>
        <w:rPr>
          <w:rFonts w:hint="eastAsia"/>
          <w:color w:val="auto"/>
          <w:lang w:val="en-US" w:eastAsia="zh-CN"/>
        </w:rPr>
        <w:t>4</w:t>
      </w:r>
      <w:r>
        <w:rPr>
          <w:rFonts w:hint="eastAsia"/>
          <w:color w:val="auto"/>
        </w:rPr>
        <w:t>月</w:t>
      </w:r>
      <w:r>
        <w:rPr>
          <w:rFonts w:hint="eastAsia"/>
          <w:color w:val="auto"/>
          <w:lang w:val="en-US" w:eastAsia="zh-CN"/>
        </w:rPr>
        <w:t>1</w:t>
      </w:r>
      <w:r>
        <w:rPr>
          <w:rFonts w:hint="eastAsia"/>
          <w:color w:val="auto"/>
        </w:rPr>
        <w:t>日-</w:t>
      </w:r>
      <w:r>
        <w:rPr>
          <w:rFonts w:hint="eastAsia"/>
          <w:color w:val="auto"/>
          <w:lang w:val="en-US" w:eastAsia="zh-CN"/>
        </w:rPr>
        <w:t>4</w:t>
      </w:r>
      <w:r>
        <w:rPr>
          <w:rFonts w:hint="eastAsia"/>
          <w:color w:val="auto"/>
        </w:rPr>
        <w:t>月</w:t>
      </w:r>
      <w:r>
        <w:rPr>
          <w:rFonts w:hint="eastAsia"/>
          <w:color w:val="auto"/>
          <w:lang w:val="en-US" w:eastAsia="zh-CN"/>
        </w:rPr>
        <w:t>30</w:t>
      </w:r>
      <w:r>
        <w:rPr>
          <w:rFonts w:hint="eastAsia"/>
          <w:color w:val="auto"/>
        </w:rPr>
        <w:t>日，评价组按照绩效评价的原则和规范，对取得的资料进行审查核实，对采集的数据进行分析，按照绩效评价指标评分表逐项进行打分、分析，汇总各方评价结果，综合分析并形成评价结论。</w:t>
      </w:r>
    </w:p>
    <w:p>
      <w:pPr>
        <w:pStyle w:val="3"/>
        <w:spacing w:line="360" w:lineRule="auto"/>
        <w:rPr>
          <w:rFonts w:ascii="宋体" w:hAnsi="宋体" w:eastAsia="宋体"/>
          <w:color w:val="auto"/>
          <w:sz w:val="32"/>
          <w:szCs w:val="32"/>
        </w:rPr>
      </w:pPr>
      <w:bookmarkStart w:id="7" w:name="_Toc68703834"/>
      <w:r>
        <w:rPr>
          <w:rFonts w:hint="eastAsia" w:ascii="宋体" w:hAnsi="宋体" w:eastAsia="宋体"/>
          <w:color w:val="auto"/>
          <w:sz w:val="32"/>
          <w:szCs w:val="32"/>
        </w:rPr>
        <w:t>三、综合评价情况及评价结论</w:t>
      </w:r>
      <w:bookmarkEnd w:id="7"/>
    </w:p>
    <w:p>
      <w:pPr>
        <w:pStyle w:val="4"/>
        <w:spacing w:line="360" w:lineRule="auto"/>
        <w:rPr>
          <w:rFonts w:ascii="仿宋_GB2312" w:eastAsia="仿宋_GB2312"/>
          <w:b w:val="0"/>
          <w:bCs w:val="0"/>
          <w:color w:val="auto"/>
        </w:rPr>
      </w:pPr>
      <w:bookmarkStart w:id="8" w:name="_Toc68703835"/>
      <w:r>
        <w:rPr>
          <w:rFonts w:hint="eastAsia" w:ascii="仿宋_GB2312" w:eastAsia="仿宋_GB2312"/>
          <w:b w:val="0"/>
          <w:bCs w:val="0"/>
          <w:color w:val="auto"/>
        </w:rPr>
        <w:t>（一）综合评价情况</w:t>
      </w:r>
      <w:bookmarkEnd w:id="8"/>
    </w:p>
    <w:p>
      <w:pPr>
        <w:spacing w:line="360" w:lineRule="auto"/>
        <w:ind w:firstLine="600" w:firstLineChars="200"/>
        <w:rPr>
          <w:rFonts w:hint="eastAsia"/>
          <w:color w:val="auto"/>
        </w:rPr>
      </w:pPr>
      <w:r>
        <w:rPr>
          <w:rFonts w:hint="eastAsia"/>
          <w:color w:val="auto"/>
        </w:rPr>
        <w:t>本项目严格按照</w:t>
      </w:r>
      <w:r>
        <w:rPr>
          <w:rFonts w:hint="eastAsia" w:ascii="Times New Roman" w:hAnsi="Times New Roman" w:eastAsia="仿宋_GB2312" w:cs="Times New Roman"/>
          <w:b w:val="0"/>
          <w:bCs w:val="0"/>
          <w:color w:val="auto"/>
          <w:sz w:val="30"/>
          <w:szCs w:val="24"/>
        </w:rPr>
        <w:t>城乡义务教育补助经费</w:t>
      </w:r>
      <w:r>
        <w:rPr>
          <w:rFonts w:hint="eastAsia"/>
          <w:color w:val="auto"/>
        </w:rPr>
        <w:t>绩效评价原则，采用</w:t>
      </w:r>
      <w:r>
        <w:rPr>
          <w:rFonts w:hint="eastAsia"/>
          <w:color w:val="auto"/>
          <w:lang w:eastAsia="zh-CN"/>
        </w:rPr>
        <w:t>比较法</w:t>
      </w:r>
      <w:r>
        <w:rPr>
          <w:rFonts w:hint="eastAsia"/>
          <w:color w:val="auto"/>
        </w:rPr>
        <w:t>评价方法，坚持</w:t>
      </w:r>
      <w:r>
        <w:rPr>
          <w:rFonts w:hint="eastAsia"/>
          <w:color w:val="auto"/>
          <w:lang w:eastAsia="zh-CN"/>
        </w:rPr>
        <w:t>行业标准</w:t>
      </w:r>
      <w:r>
        <w:rPr>
          <w:rFonts w:hint="eastAsia"/>
          <w:color w:val="auto"/>
        </w:rPr>
        <w:t>绩效评价标准对本项目的立项、项绩效目标、资金投入、资金管理、组织实施、产出数量、产出质量、产出时效、产出成本、项目效益进行了综合评价。</w:t>
      </w:r>
    </w:p>
    <w:p>
      <w:pPr>
        <w:pStyle w:val="4"/>
        <w:pageBreakBefore w:val="0"/>
        <w:kinsoku/>
        <w:wordWrap/>
        <w:overflowPunct/>
        <w:topLinePunct w:val="0"/>
        <w:autoSpaceDE/>
        <w:autoSpaceDN/>
        <w:bidi w:val="0"/>
        <w:adjustRightInd/>
        <w:snapToGrid/>
        <w:spacing w:before="0" w:after="0" w:line="560" w:lineRule="exact"/>
        <w:ind w:firstLine="620" w:firstLineChars="200"/>
        <w:textAlignment w:val="auto"/>
        <w:rPr>
          <w:rFonts w:hint="default" w:ascii="Times New Roman" w:hAnsi="Times New Roman" w:eastAsia="方正仿宋_GBK" w:cs="Times New Roman"/>
          <w:b w:val="0"/>
          <w:bCs w:val="0"/>
          <w:color w:val="auto"/>
          <w:spacing w:val="0"/>
          <w:sz w:val="31"/>
          <w:szCs w:val="31"/>
        </w:rPr>
      </w:pPr>
      <w:r>
        <w:rPr>
          <w:rFonts w:hint="default" w:ascii="Times New Roman" w:hAnsi="Times New Roman" w:eastAsia="方正仿宋_GBK" w:cs="Times New Roman"/>
          <w:b w:val="0"/>
          <w:bCs w:val="0"/>
          <w:color w:val="auto"/>
          <w:spacing w:val="0"/>
          <w:sz w:val="31"/>
          <w:szCs w:val="31"/>
          <w:lang w:val="en-US" w:eastAsia="zh-CN"/>
        </w:rPr>
        <w:t>2.</w:t>
      </w:r>
      <w:r>
        <w:rPr>
          <w:rFonts w:hint="default" w:ascii="Times New Roman" w:hAnsi="Times New Roman" w:eastAsia="方正仿宋_GBK" w:cs="Times New Roman"/>
          <w:b w:val="0"/>
          <w:bCs w:val="0"/>
          <w:color w:val="auto"/>
          <w:spacing w:val="0"/>
          <w:sz w:val="31"/>
          <w:szCs w:val="31"/>
        </w:rPr>
        <w:t>评价结论</w:t>
      </w:r>
    </w:p>
    <w:p>
      <w:pPr>
        <w:pageBreakBefore w:val="0"/>
        <w:kinsoku/>
        <w:wordWrap/>
        <w:overflowPunct/>
        <w:topLinePunct w:val="0"/>
        <w:autoSpaceDE/>
        <w:autoSpaceDN/>
        <w:bidi w:val="0"/>
        <w:adjustRightInd/>
        <w:snapToGrid/>
        <w:spacing w:line="560" w:lineRule="exact"/>
        <w:ind w:firstLine="620" w:firstLineChars="200"/>
        <w:textAlignment w:val="auto"/>
      </w:pPr>
      <w:r>
        <w:rPr>
          <w:rFonts w:hint="default" w:ascii="Times New Roman" w:hAnsi="Times New Roman" w:eastAsia="方正仿宋_GBK" w:cs="Times New Roman"/>
          <w:b w:val="0"/>
          <w:bCs w:val="0"/>
          <w:color w:val="auto"/>
          <w:spacing w:val="0"/>
          <w:sz w:val="31"/>
          <w:szCs w:val="31"/>
        </w:rPr>
        <w:t>运用绩效评价组制定的评价指标体系以及财政部《项目支出绩效评价管理办法》（财预〔2020〕10号）文件的评分标准，通过数据采集、问卷调查及访谈等方式，对本项目进行客观评价，最终评分结果：</w:t>
      </w:r>
      <w:r>
        <w:rPr>
          <w:rFonts w:hint="default" w:ascii="Times New Roman" w:hAnsi="Times New Roman" w:eastAsia="方正仿宋_GBK" w:cs="Times New Roman"/>
          <w:b w:val="0"/>
          <w:bCs w:val="0"/>
          <w:color w:val="auto"/>
          <w:spacing w:val="0"/>
          <w:sz w:val="31"/>
          <w:szCs w:val="31"/>
          <w:highlight w:val="none"/>
        </w:rPr>
        <w:t>总得分为</w:t>
      </w:r>
      <w:r>
        <w:rPr>
          <w:rFonts w:hint="eastAsia" w:ascii="Times New Roman" w:hAnsi="Times New Roman" w:eastAsia="方正仿宋_GBK" w:cs="Times New Roman"/>
          <w:b w:val="0"/>
          <w:bCs w:val="0"/>
          <w:color w:val="auto"/>
          <w:spacing w:val="0"/>
          <w:sz w:val="31"/>
          <w:szCs w:val="31"/>
          <w:highlight w:val="none"/>
          <w:lang w:val="en-US" w:eastAsia="zh-CN"/>
        </w:rPr>
        <w:t>91.36</w:t>
      </w:r>
      <w:r>
        <w:rPr>
          <w:rFonts w:hint="default" w:ascii="Times New Roman" w:hAnsi="Times New Roman" w:eastAsia="方正仿宋_GBK" w:cs="Times New Roman"/>
          <w:b w:val="0"/>
          <w:bCs w:val="0"/>
          <w:color w:val="auto"/>
          <w:spacing w:val="0"/>
          <w:sz w:val="31"/>
          <w:szCs w:val="31"/>
          <w:highlight w:val="none"/>
        </w:rPr>
        <w:t>分，属于“优”。其中，</w:t>
      </w:r>
      <w:r>
        <w:rPr>
          <w:rFonts w:hint="default" w:ascii="Times New Roman" w:hAnsi="Times New Roman" w:eastAsia="方正仿宋_GBK" w:cs="Times New Roman"/>
          <w:b w:val="0"/>
          <w:bCs w:val="0"/>
          <w:color w:val="auto"/>
          <w:spacing w:val="0"/>
          <w:sz w:val="31"/>
          <w:szCs w:val="31"/>
          <w:highlight w:val="none"/>
          <w:lang w:val="en-US" w:eastAsia="zh-CN"/>
        </w:rPr>
        <w:t>项</w:t>
      </w:r>
      <w:r>
        <w:rPr>
          <w:rFonts w:hint="default" w:ascii="Times New Roman" w:hAnsi="Times New Roman" w:eastAsia="方正仿宋_GBK" w:cs="Times New Roman"/>
          <w:b w:val="0"/>
          <w:bCs w:val="0"/>
          <w:color w:val="auto"/>
          <w:spacing w:val="0"/>
          <w:sz w:val="31"/>
          <w:szCs w:val="31"/>
          <w:highlight w:val="none"/>
        </w:rPr>
        <w:t>目</w:t>
      </w:r>
      <w:r>
        <w:rPr>
          <w:rFonts w:hint="default" w:ascii="Times New Roman" w:hAnsi="Times New Roman" w:eastAsia="方正仿宋_GBK" w:cs="Times New Roman"/>
          <w:b w:val="0"/>
          <w:bCs w:val="0"/>
          <w:color w:val="auto"/>
          <w:spacing w:val="0"/>
          <w:sz w:val="31"/>
          <w:szCs w:val="31"/>
          <w:highlight w:val="none"/>
          <w:lang w:val="en-US" w:eastAsia="zh-CN"/>
        </w:rPr>
        <w:t>决策</w:t>
      </w:r>
      <w:r>
        <w:rPr>
          <w:rFonts w:hint="default" w:ascii="Times New Roman" w:hAnsi="Times New Roman" w:eastAsia="方正仿宋_GBK" w:cs="Times New Roman"/>
          <w:b w:val="0"/>
          <w:bCs w:val="0"/>
          <w:color w:val="auto"/>
          <w:spacing w:val="0"/>
          <w:sz w:val="31"/>
          <w:szCs w:val="31"/>
          <w:highlight w:val="none"/>
        </w:rPr>
        <w:t>类指标权重为</w:t>
      </w:r>
      <w:r>
        <w:rPr>
          <w:rFonts w:hint="eastAsia" w:ascii="Times New Roman" w:hAnsi="Times New Roman" w:eastAsia="方正仿宋_GBK" w:cs="Times New Roman"/>
          <w:b w:val="0"/>
          <w:bCs w:val="0"/>
          <w:color w:val="auto"/>
          <w:spacing w:val="0"/>
          <w:sz w:val="31"/>
          <w:szCs w:val="31"/>
          <w:highlight w:val="none"/>
          <w:lang w:val="en-US" w:eastAsia="zh-CN"/>
        </w:rPr>
        <w:t>20</w:t>
      </w:r>
      <w:r>
        <w:rPr>
          <w:rFonts w:hint="default" w:ascii="Times New Roman" w:hAnsi="Times New Roman" w:eastAsia="方正仿宋_GBK" w:cs="Times New Roman"/>
          <w:b w:val="0"/>
          <w:bCs w:val="0"/>
          <w:color w:val="auto"/>
          <w:spacing w:val="0"/>
          <w:sz w:val="31"/>
          <w:szCs w:val="31"/>
          <w:highlight w:val="none"/>
        </w:rPr>
        <w:t>分，得分为</w:t>
      </w:r>
      <w:r>
        <w:rPr>
          <w:rFonts w:hint="eastAsia" w:ascii="Times New Roman" w:hAnsi="Times New Roman" w:eastAsia="方正仿宋_GBK" w:cs="Times New Roman"/>
          <w:b w:val="0"/>
          <w:bCs w:val="0"/>
          <w:color w:val="auto"/>
          <w:spacing w:val="0"/>
          <w:sz w:val="31"/>
          <w:szCs w:val="31"/>
          <w:highlight w:val="none"/>
          <w:lang w:val="en-US" w:eastAsia="zh-CN"/>
        </w:rPr>
        <w:t>20</w:t>
      </w:r>
      <w:r>
        <w:rPr>
          <w:rFonts w:hint="default" w:ascii="Times New Roman" w:hAnsi="Times New Roman" w:eastAsia="方正仿宋_GBK" w:cs="Times New Roman"/>
          <w:b w:val="0"/>
          <w:bCs w:val="0"/>
          <w:color w:val="auto"/>
          <w:spacing w:val="0"/>
          <w:sz w:val="31"/>
          <w:szCs w:val="31"/>
          <w:highlight w:val="none"/>
        </w:rPr>
        <w:t xml:space="preserve">分，得分率为 </w:t>
      </w:r>
      <w:r>
        <w:rPr>
          <w:rFonts w:hint="default" w:ascii="Times New Roman" w:hAnsi="Times New Roman" w:eastAsia="方正仿宋_GBK" w:cs="Times New Roman"/>
          <w:b w:val="0"/>
          <w:bCs w:val="0"/>
          <w:color w:val="auto"/>
          <w:spacing w:val="0"/>
          <w:sz w:val="31"/>
          <w:szCs w:val="31"/>
          <w:highlight w:val="none"/>
          <w:lang w:val="en-US" w:eastAsia="zh-CN"/>
        </w:rPr>
        <w:t>100</w:t>
      </w:r>
      <w:r>
        <w:rPr>
          <w:rFonts w:hint="default" w:ascii="Times New Roman" w:hAnsi="Times New Roman" w:eastAsia="方正仿宋_GBK" w:cs="Times New Roman"/>
          <w:b w:val="0"/>
          <w:bCs w:val="0"/>
          <w:color w:val="auto"/>
          <w:spacing w:val="0"/>
          <w:sz w:val="31"/>
          <w:szCs w:val="31"/>
          <w:highlight w:val="none"/>
        </w:rPr>
        <w:t>%。项目过程类指标权重为20分，得分为</w:t>
      </w:r>
      <w:r>
        <w:rPr>
          <w:rFonts w:hint="eastAsia" w:ascii="Times New Roman" w:hAnsi="Times New Roman" w:eastAsia="方正仿宋_GBK" w:cs="Times New Roman"/>
          <w:b w:val="0"/>
          <w:bCs w:val="0"/>
          <w:color w:val="auto"/>
          <w:spacing w:val="0"/>
          <w:sz w:val="31"/>
          <w:szCs w:val="31"/>
          <w:highlight w:val="none"/>
          <w:lang w:val="en-US" w:eastAsia="zh-CN"/>
        </w:rPr>
        <w:t>19.29</w:t>
      </w:r>
      <w:r>
        <w:rPr>
          <w:rFonts w:hint="default" w:ascii="Times New Roman" w:hAnsi="Times New Roman" w:eastAsia="方正仿宋_GBK" w:cs="Times New Roman"/>
          <w:b w:val="0"/>
          <w:bCs w:val="0"/>
          <w:color w:val="auto"/>
          <w:spacing w:val="0"/>
          <w:sz w:val="31"/>
          <w:szCs w:val="31"/>
          <w:highlight w:val="none"/>
        </w:rPr>
        <w:t>分，得分率为</w:t>
      </w:r>
      <w:r>
        <w:rPr>
          <w:rFonts w:hint="eastAsia" w:ascii="Times New Roman" w:hAnsi="Times New Roman" w:eastAsia="方正仿宋_GBK" w:cs="Times New Roman"/>
          <w:b w:val="0"/>
          <w:bCs w:val="0"/>
          <w:color w:val="auto"/>
          <w:spacing w:val="0"/>
          <w:sz w:val="31"/>
          <w:szCs w:val="31"/>
          <w:highlight w:val="none"/>
          <w:lang w:val="en-US" w:eastAsia="zh-CN"/>
        </w:rPr>
        <w:t>96.45</w:t>
      </w:r>
      <w:r>
        <w:rPr>
          <w:rFonts w:hint="default" w:ascii="Times New Roman" w:hAnsi="Times New Roman" w:eastAsia="方正仿宋_GBK" w:cs="Times New Roman"/>
          <w:b w:val="0"/>
          <w:bCs w:val="0"/>
          <w:color w:val="auto"/>
          <w:spacing w:val="0"/>
          <w:sz w:val="31"/>
          <w:szCs w:val="31"/>
          <w:highlight w:val="none"/>
        </w:rPr>
        <w:t>%。项目产出类指标权重为40分，得分为</w:t>
      </w:r>
      <w:r>
        <w:rPr>
          <w:rFonts w:hint="eastAsia" w:ascii="Times New Roman" w:hAnsi="Times New Roman" w:eastAsia="方正仿宋_GBK" w:cs="Times New Roman"/>
          <w:b w:val="0"/>
          <w:bCs w:val="0"/>
          <w:color w:val="auto"/>
          <w:spacing w:val="0"/>
          <w:sz w:val="31"/>
          <w:szCs w:val="31"/>
          <w:highlight w:val="none"/>
          <w:lang w:val="en-US" w:eastAsia="zh-CN"/>
        </w:rPr>
        <w:t>34</w:t>
      </w:r>
      <w:r>
        <w:rPr>
          <w:rFonts w:hint="default" w:ascii="Times New Roman" w:hAnsi="Times New Roman" w:eastAsia="方正仿宋_GBK" w:cs="Times New Roman"/>
          <w:b w:val="0"/>
          <w:bCs w:val="0"/>
          <w:color w:val="auto"/>
          <w:spacing w:val="0"/>
          <w:sz w:val="31"/>
          <w:szCs w:val="31"/>
          <w:highlight w:val="none"/>
        </w:rPr>
        <w:t xml:space="preserve">分，得分率为 </w:t>
      </w:r>
      <w:r>
        <w:rPr>
          <w:rFonts w:hint="eastAsia" w:ascii="Times New Roman" w:hAnsi="Times New Roman" w:eastAsia="方正仿宋_GBK" w:cs="Times New Roman"/>
          <w:b w:val="0"/>
          <w:bCs w:val="0"/>
          <w:color w:val="auto"/>
          <w:spacing w:val="0"/>
          <w:sz w:val="31"/>
          <w:szCs w:val="31"/>
          <w:highlight w:val="none"/>
          <w:lang w:val="en-US" w:eastAsia="zh-CN"/>
        </w:rPr>
        <w:t>85</w:t>
      </w:r>
      <w:r>
        <w:rPr>
          <w:rFonts w:hint="default" w:ascii="Times New Roman" w:hAnsi="Times New Roman" w:eastAsia="方正仿宋_GBK" w:cs="Times New Roman"/>
          <w:b w:val="0"/>
          <w:bCs w:val="0"/>
          <w:color w:val="auto"/>
          <w:spacing w:val="0"/>
          <w:sz w:val="31"/>
          <w:szCs w:val="31"/>
          <w:highlight w:val="none"/>
        </w:rPr>
        <w:t>%。项目效益类指标权重为</w:t>
      </w:r>
      <w:r>
        <w:rPr>
          <w:rFonts w:hint="eastAsia" w:ascii="Times New Roman" w:hAnsi="Times New Roman" w:eastAsia="方正仿宋_GBK" w:cs="Times New Roman"/>
          <w:b w:val="0"/>
          <w:bCs w:val="0"/>
          <w:color w:val="auto"/>
          <w:spacing w:val="0"/>
          <w:sz w:val="31"/>
          <w:szCs w:val="31"/>
          <w:highlight w:val="none"/>
          <w:lang w:val="en-US" w:eastAsia="zh-CN"/>
        </w:rPr>
        <w:t>20</w:t>
      </w:r>
      <w:r>
        <w:rPr>
          <w:rFonts w:hint="default" w:ascii="Times New Roman" w:hAnsi="Times New Roman" w:eastAsia="方正仿宋_GBK" w:cs="Times New Roman"/>
          <w:b w:val="0"/>
          <w:bCs w:val="0"/>
          <w:color w:val="auto"/>
          <w:spacing w:val="0"/>
          <w:sz w:val="31"/>
          <w:szCs w:val="31"/>
          <w:highlight w:val="none"/>
        </w:rPr>
        <w:t>分，得分为</w:t>
      </w:r>
      <w:r>
        <w:rPr>
          <w:rFonts w:hint="eastAsia" w:ascii="Times New Roman" w:hAnsi="Times New Roman" w:eastAsia="方正仿宋_GBK" w:cs="Times New Roman"/>
          <w:b w:val="0"/>
          <w:bCs w:val="0"/>
          <w:color w:val="auto"/>
          <w:spacing w:val="0"/>
          <w:sz w:val="31"/>
          <w:szCs w:val="31"/>
          <w:highlight w:val="none"/>
          <w:lang w:val="en-US" w:eastAsia="zh-CN"/>
        </w:rPr>
        <w:t>18.07</w:t>
      </w:r>
      <w:r>
        <w:rPr>
          <w:rFonts w:hint="default" w:ascii="Times New Roman" w:hAnsi="Times New Roman" w:eastAsia="方正仿宋_GBK" w:cs="Times New Roman"/>
          <w:b w:val="0"/>
          <w:bCs w:val="0"/>
          <w:color w:val="auto"/>
          <w:spacing w:val="0"/>
          <w:sz w:val="31"/>
          <w:szCs w:val="31"/>
          <w:highlight w:val="none"/>
        </w:rPr>
        <w:t>分，得分率为</w:t>
      </w:r>
      <w:r>
        <w:rPr>
          <w:rFonts w:hint="default" w:ascii="Times New Roman" w:hAnsi="Times New Roman" w:eastAsia="方正仿宋_GBK" w:cs="Times New Roman"/>
          <w:b w:val="0"/>
          <w:bCs w:val="0"/>
          <w:color w:val="auto"/>
          <w:spacing w:val="0"/>
          <w:sz w:val="31"/>
          <w:szCs w:val="31"/>
          <w:highlight w:val="none"/>
          <w:lang w:val="en-US" w:eastAsia="zh-CN"/>
        </w:rPr>
        <w:t>100</w:t>
      </w:r>
      <w:r>
        <w:rPr>
          <w:rFonts w:hint="default" w:ascii="Times New Roman" w:hAnsi="Times New Roman" w:eastAsia="方正仿宋_GBK" w:cs="Times New Roman"/>
          <w:b w:val="0"/>
          <w:bCs w:val="0"/>
          <w:color w:val="auto"/>
          <w:spacing w:val="0"/>
          <w:sz w:val="31"/>
          <w:szCs w:val="31"/>
          <w:highlight w:val="none"/>
        </w:rPr>
        <w:t>%。</w:t>
      </w:r>
    </w:p>
    <w:p>
      <w:pPr>
        <w:spacing w:line="360" w:lineRule="auto"/>
        <w:ind w:firstLine="600" w:firstLineChars="200"/>
        <w:jc w:val="center"/>
        <w:rPr>
          <w:color w:val="auto"/>
        </w:rPr>
      </w:pPr>
      <w:r>
        <w:rPr>
          <w:rFonts w:hint="eastAsia" w:ascii="Times New Roman" w:hAnsi="Times New Roman" w:eastAsia="仿宋_GB2312" w:cs="Times New Roman"/>
          <w:b w:val="0"/>
          <w:bCs w:val="0"/>
          <w:color w:val="auto"/>
          <w:sz w:val="30"/>
          <w:szCs w:val="24"/>
        </w:rPr>
        <w:t>城乡义务教育补助经费</w:t>
      </w:r>
      <w:r>
        <w:rPr>
          <w:rFonts w:hint="eastAsia"/>
          <w:color w:val="auto"/>
        </w:rPr>
        <w:t>项目评价得分情况</w:t>
      </w:r>
    </w:p>
    <w:tbl>
      <w:tblPr>
        <w:tblStyle w:val="8"/>
        <w:tblW w:w="7583" w:type="dxa"/>
        <w:jc w:val="center"/>
        <w:tblLayout w:type="fixed"/>
        <w:tblCellMar>
          <w:top w:w="0" w:type="dxa"/>
          <w:left w:w="108" w:type="dxa"/>
          <w:bottom w:w="0" w:type="dxa"/>
          <w:right w:w="108" w:type="dxa"/>
        </w:tblCellMar>
      </w:tblPr>
      <w:tblGrid>
        <w:gridCol w:w="3137"/>
        <w:gridCol w:w="2168"/>
        <w:gridCol w:w="2278"/>
      </w:tblGrid>
      <w:tr>
        <w:tblPrEx>
          <w:tblCellMar>
            <w:top w:w="0" w:type="dxa"/>
            <w:left w:w="108" w:type="dxa"/>
            <w:bottom w:w="0" w:type="dxa"/>
            <w:right w:w="108" w:type="dxa"/>
          </w:tblCellMar>
        </w:tblPrEx>
        <w:trPr>
          <w:trHeight w:val="90" w:hRule="atLeast"/>
          <w:tblHeader/>
          <w:jc w:val="center"/>
        </w:trPr>
        <w:tc>
          <w:tcPr>
            <w:tcW w:w="3137" w:type="dxa"/>
            <w:tcBorders>
              <w:top w:val="single" w:color="auto" w:sz="4" w:space="0"/>
              <w:left w:val="single" w:color="auto" w:sz="4" w:space="0"/>
              <w:bottom w:val="single" w:color="auto" w:sz="4" w:space="0"/>
              <w:right w:val="single" w:color="auto" w:sz="4" w:space="0"/>
            </w:tcBorders>
            <w:shd w:val="clear" w:color="000000" w:fill="BEBEBE" w:themeFill="background1" w:themeFillShade="BF"/>
            <w:vAlign w:val="center"/>
          </w:tcPr>
          <w:p>
            <w:pPr>
              <w:jc w:val="center"/>
              <w:rPr>
                <w:b/>
                <w:bCs/>
                <w:color w:val="auto"/>
                <w:sz w:val="22"/>
              </w:rPr>
            </w:pPr>
            <w:r>
              <w:rPr>
                <w:rFonts w:hint="eastAsia"/>
                <w:b/>
                <w:bCs/>
                <w:color w:val="auto"/>
                <w:sz w:val="22"/>
              </w:rPr>
              <w:t>一级指标</w:t>
            </w:r>
          </w:p>
        </w:tc>
        <w:tc>
          <w:tcPr>
            <w:tcW w:w="2168" w:type="dxa"/>
            <w:tcBorders>
              <w:top w:val="single" w:color="auto" w:sz="4" w:space="0"/>
              <w:left w:val="nil"/>
              <w:bottom w:val="single" w:color="auto" w:sz="4" w:space="0"/>
              <w:right w:val="single" w:color="auto" w:sz="4" w:space="0"/>
            </w:tcBorders>
            <w:shd w:val="clear" w:color="000000" w:fill="BEBEBE" w:themeFill="background1" w:themeFillShade="BF"/>
            <w:vAlign w:val="center"/>
          </w:tcPr>
          <w:p>
            <w:pPr>
              <w:jc w:val="center"/>
              <w:rPr>
                <w:b/>
                <w:bCs/>
                <w:color w:val="auto"/>
                <w:sz w:val="22"/>
              </w:rPr>
            </w:pPr>
            <w:r>
              <w:rPr>
                <w:rFonts w:hint="eastAsia"/>
                <w:b/>
                <w:bCs/>
                <w:color w:val="auto"/>
                <w:sz w:val="22"/>
              </w:rPr>
              <w:t>权重分</w:t>
            </w:r>
          </w:p>
        </w:tc>
        <w:tc>
          <w:tcPr>
            <w:tcW w:w="2278" w:type="dxa"/>
            <w:tcBorders>
              <w:top w:val="single" w:color="auto" w:sz="4" w:space="0"/>
              <w:left w:val="nil"/>
              <w:bottom w:val="single" w:color="auto" w:sz="4" w:space="0"/>
              <w:right w:val="single" w:color="auto" w:sz="4" w:space="0"/>
            </w:tcBorders>
            <w:shd w:val="clear" w:color="000000" w:fill="BEBEBE" w:themeFill="background1" w:themeFillShade="BF"/>
            <w:vAlign w:val="center"/>
          </w:tcPr>
          <w:p>
            <w:pPr>
              <w:jc w:val="center"/>
              <w:rPr>
                <w:b/>
                <w:bCs/>
                <w:color w:val="auto"/>
                <w:sz w:val="22"/>
              </w:rPr>
            </w:pPr>
            <w:r>
              <w:rPr>
                <w:rFonts w:hint="eastAsia"/>
                <w:b/>
                <w:bCs/>
                <w:color w:val="auto"/>
                <w:sz w:val="22"/>
              </w:rPr>
              <w:t>得分</w:t>
            </w:r>
          </w:p>
        </w:tc>
      </w:tr>
      <w:tr>
        <w:tblPrEx>
          <w:tblCellMar>
            <w:top w:w="0" w:type="dxa"/>
            <w:left w:w="108" w:type="dxa"/>
            <w:bottom w:w="0" w:type="dxa"/>
            <w:right w:w="108" w:type="dxa"/>
          </w:tblCellMar>
        </w:tblPrEx>
        <w:trPr>
          <w:trHeight w:val="340" w:hRule="atLeast"/>
          <w:jc w:val="center"/>
        </w:trPr>
        <w:tc>
          <w:tcPr>
            <w:tcW w:w="3137" w:type="dxa"/>
            <w:tcBorders>
              <w:top w:val="nil"/>
              <w:left w:val="single" w:color="auto" w:sz="4" w:space="0"/>
              <w:bottom w:val="single" w:color="auto" w:sz="4" w:space="0"/>
              <w:right w:val="single" w:color="auto" w:sz="4" w:space="0"/>
            </w:tcBorders>
            <w:shd w:val="clear" w:color="auto" w:fill="auto"/>
            <w:vAlign w:val="center"/>
          </w:tcPr>
          <w:p>
            <w:pPr>
              <w:jc w:val="center"/>
              <w:rPr>
                <w:color w:val="auto"/>
                <w:sz w:val="22"/>
              </w:rPr>
            </w:pPr>
            <w:r>
              <w:rPr>
                <w:rFonts w:hint="eastAsia"/>
                <w:color w:val="auto"/>
                <w:sz w:val="22"/>
              </w:rPr>
              <w:t>项目决策</w:t>
            </w:r>
          </w:p>
        </w:tc>
        <w:tc>
          <w:tcPr>
            <w:tcW w:w="2168" w:type="dxa"/>
            <w:tcBorders>
              <w:top w:val="nil"/>
              <w:left w:val="nil"/>
              <w:bottom w:val="single" w:color="auto" w:sz="4" w:space="0"/>
              <w:right w:val="single" w:color="auto" w:sz="4" w:space="0"/>
            </w:tcBorders>
            <w:shd w:val="clear" w:color="auto" w:fill="auto"/>
            <w:vAlign w:val="center"/>
          </w:tcPr>
          <w:p>
            <w:pPr>
              <w:jc w:val="center"/>
              <w:rPr>
                <w:rFonts w:hint="default" w:eastAsia="仿宋_GB2312"/>
                <w:color w:val="auto"/>
                <w:sz w:val="22"/>
                <w:lang w:val="en-US" w:eastAsia="zh-CN"/>
              </w:rPr>
            </w:pPr>
            <w:r>
              <w:rPr>
                <w:rFonts w:hint="eastAsia"/>
                <w:color w:val="auto"/>
                <w:sz w:val="22"/>
                <w:lang w:val="en-US" w:eastAsia="zh-CN"/>
              </w:rPr>
              <w:t>20</w:t>
            </w:r>
          </w:p>
        </w:tc>
        <w:tc>
          <w:tcPr>
            <w:tcW w:w="2278" w:type="dxa"/>
            <w:tcBorders>
              <w:top w:val="nil"/>
              <w:left w:val="nil"/>
              <w:bottom w:val="single" w:color="auto" w:sz="4" w:space="0"/>
              <w:right w:val="single" w:color="auto" w:sz="4" w:space="0"/>
            </w:tcBorders>
            <w:shd w:val="clear" w:color="auto" w:fill="auto"/>
            <w:vAlign w:val="center"/>
          </w:tcPr>
          <w:p>
            <w:pPr>
              <w:jc w:val="center"/>
              <w:rPr>
                <w:rFonts w:hint="default" w:eastAsia="仿宋_GB2312"/>
                <w:color w:val="auto"/>
                <w:sz w:val="22"/>
                <w:lang w:val="en-US" w:eastAsia="zh-CN"/>
              </w:rPr>
            </w:pPr>
            <w:r>
              <w:rPr>
                <w:rFonts w:hint="eastAsia"/>
                <w:color w:val="auto"/>
                <w:sz w:val="22"/>
                <w:lang w:val="en-US" w:eastAsia="zh-CN"/>
              </w:rPr>
              <w:t>20</w:t>
            </w:r>
          </w:p>
        </w:tc>
      </w:tr>
      <w:tr>
        <w:tblPrEx>
          <w:tblCellMar>
            <w:top w:w="0" w:type="dxa"/>
            <w:left w:w="108" w:type="dxa"/>
            <w:bottom w:w="0" w:type="dxa"/>
            <w:right w:w="108" w:type="dxa"/>
          </w:tblCellMar>
        </w:tblPrEx>
        <w:trPr>
          <w:trHeight w:val="340" w:hRule="atLeast"/>
          <w:jc w:val="center"/>
        </w:trPr>
        <w:tc>
          <w:tcPr>
            <w:tcW w:w="3137" w:type="dxa"/>
            <w:tcBorders>
              <w:top w:val="nil"/>
              <w:left w:val="single" w:color="auto" w:sz="4" w:space="0"/>
              <w:bottom w:val="single" w:color="auto" w:sz="4" w:space="0"/>
              <w:right w:val="single" w:color="auto" w:sz="4" w:space="0"/>
            </w:tcBorders>
            <w:shd w:val="clear" w:color="auto" w:fill="auto"/>
            <w:vAlign w:val="center"/>
          </w:tcPr>
          <w:p>
            <w:pPr>
              <w:jc w:val="center"/>
              <w:rPr>
                <w:color w:val="auto"/>
                <w:sz w:val="22"/>
              </w:rPr>
            </w:pPr>
            <w:r>
              <w:rPr>
                <w:rFonts w:hint="eastAsia"/>
                <w:color w:val="auto"/>
                <w:sz w:val="22"/>
              </w:rPr>
              <w:t>项目过程</w:t>
            </w:r>
          </w:p>
        </w:tc>
        <w:tc>
          <w:tcPr>
            <w:tcW w:w="2168" w:type="dxa"/>
            <w:tcBorders>
              <w:top w:val="nil"/>
              <w:left w:val="nil"/>
              <w:bottom w:val="single" w:color="auto" w:sz="4" w:space="0"/>
              <w:right w:val="single" w:color="auto" w:sz="4" w:space="0"/>
            </w:tcBorders>
            <w:shd w:val="clear" w:color="auto" w:fill="auto"/>
            <w:vAlign w:val="center"/>
          </w:tcPr>
          <w:p>
            <w:pPr>
              <w:jc w:val="center"/>
              <w:rPr>
                <w:rFonts w:hint="default" w:eastAsia="仿宋_GB2312"/>
                <w:color w:val="auto"/>
                <w:sz w:val="22"/>
                <w:lang w:val="en-US" w:eastAsia="zh-CN"/>
              </w:rPr>
            </w:pPr>
            <w:r>
              <w:rPr>
                <w:rFonts w:hint="eastAsia"/>
                <w:color w:val="auto"/>
                <w:sz w:val="22"/>
                <w:lang w:val="en-US" w:eastAsia="zh-CN"/>
              </w:rPr>
              <w:t>20</w:t>
            </w:r>
          </w:p>
        </w:tc>
        <w:tc>
          <w:tcPr>
            <w:tcW w:w="2278" w:type="dxa"/>
            <w:tcBorders>
              <w:top w:val="nil"/>
              <w:left w:val="nil"/>
              <w:bottom w:val="single" w:color="auto" w:sz="4" w:space="0"/>
              <w:right w:val="single" w:color="auto" w:sz="4" w:space="0"/>
            </w:tcBorders>
            <w:shd w:val="clear" w:color="auto" w:fill="auto"/>
            <w:vAlign w:val="center"/>
          </w:tcPr>
          <w:p>
            <w:pPr>
              <w:jc w:val="center"/>
              <w:rPr>
                <w:rFonts w:hint="default" w:eastAsia="仿宋_GB2312"/>
                <w:color w:val="auto"/>
                <w:sz w:val="22"/>
                <w:lang w:val="en-US" w:eastAsia="zh-CN"/>
              </w:rPr>
            </w:pPr>
            <w:r>
              <w:rPr>
                <w:rFonts w:hint="eastAsia"/>
                <w:color w:val="auto"/>
                <w:sz w:val="22"/>
                <w:lang w:val="en-US" w:eastAsia="zh-CN"/>
              </w:rPr>
              <w:t>19.29</w:t>
            </w:r>
          </w:p>
        </w:tc>
      </w:tr>
      <w:tr>
        <w:tblPrEx>
          <w:tblCellMar>
            <w:top w:w="0" w:type="dxa"/>
            <w:left w:w="108" w:type="dxa"/>
            <w:bottom w:w="0" w:type="dxa"/>
            <w:right w:w="108" w:type="dxa"/>
          </w:tblCellMar>
        </w:tblPrEx>
        <w:trPr>
          <w:trHeight w:val="340" w:hRule="atLeast"/>
          <w:jc w:val="center"/>
        </w:trPr>
        <w:tc>
          <w:tcPr>
            <w:tcW w:w="3137" w:type="dxa"/>
            <w:tcBorders>
              <w:top w:val="nil"/>
              <w:left w:val="single" w:color="auto" w:sz="4" w:space="0"/>
              <w:bottom w:val="single" w:color="auto" w:sz="4" w:space="0"/>
              <w:right w:val="single" w:color="auto" w:sz="4" w:space="0"/>
            </w:tcBorders>
            <w:shd w:val="clear" w:color="auto" w:fill="auto"/>
            <w:vAlign w:val="center"/>
          </w:tcPr>
          <w:p>
            <w:pPr>
              <w:jc w:val="center"/>
              <w:rPr>
                <w:color w:val="auto"/>
                <w:sz w:val="22"/>
              </w:rPr>
            </w:pPr>
            <w:r>
              <w:rPr>
                <w:rFonts w:hint="eastAsia"/>
                <w:color w:val="auto"/>
                <w:sz w:val="22"/>
              </w:rPr>
              <w:t>项目产出</w:t>
            </w:r>
          </w:p>
        </w:tc>
        <w:tc>
          <w:tcPr>
            <w:tcW w:w="2168" w:type="dxa"/>
            <w:tcBorders>
              <w:top w:val="nil"/>
              <w:left w:val="nil"/>
              <w:bottom w:val="single" w:color="auto" w:sz="4" w:space="0"/>
              <w:right w:val="single" w:color="auto" w:sz="4" w:space="0"/>
            </w:tcBorders>
            <w:shd w:val="clear" w:color="auto" w:fill="auto"/>
            <w:vAlign w:val="center"/>
          </w:tcPr>
          <w:p>
            <w:pPr>
              <w:jc w:val="center"/>
              <w:rPr>
                <w:rFonts w:hint="default" w:eastAsia="仿宋_GB2312"/>
                <w:color w:val="auto"/>
                <w:sz w:val="22"/>
                <w:lang w:val="en-US" w:eastAsia="zh-CN"/>
              </w:rPr>
            </w:pPr>
            <w:r>
              <w:rPr>
                <w:rFonts w:hint="eastAsia"/>
                <w:color w:val="auto"/>
                <w:sz w:val="22"/>
                <w:lang w:val="en-US" w:eastAsia="zh-CN"/>
              </w:rPr>
              <w:t>40</w:t>
            </w:r>
          </w:p>
        </w:tc>
        <w:tc>
          <w:tcPr>
            <w:tcW w:w="2278" w:type="dxa"/>
            <w:tcBorders>
              <w:top w:val="nil"/>
              <w:left w:val="nil"/>
              <w:bottom w:val="single" w:color="auto" w:sz="4" w:space="0"/>
              <w:right w:val="single" w:color="auto" w:sz="4" w:space="0"/>
            </w:tcBorders>
            <w:shd w:val="clear" w:color="auto" w:fill="auto"/>
            <w:vAlign w:val="center"/>
          </w:tcPr>
          <w:p>
            <w:pPr>
              <w:jc w:val="center"/>
              <w:rPr>
                <w:rFonts w:hint="default" w:eastAsia="仿宋_GB2312"/>
                <w:color w:val="auto"/>
                <w:sz w:val="22"/>
                <w:lang w:val="en-US" w:eastAsia="zh-CN"/>
              </w:rPr>
            </w:pPr>
            <w:r>
              <w:rPr>
                <w:rFonts w:hint="eastAsia"/>
                <w:color w:val="auto"/>
                <w:sz w:val="22"/>
                <w:lang w:val="en-US" w:eastAsia="zh-CN"/>
              </w:rPr>
              <w:t>34</w:t>
            </w:r>
          </w:p>
        </w:tc>
      </w:tr>
      <w:tr>
        <w:tblPrEx>
          <w:tblCellMar>
            <w:top w:w="0" w:type="dxa"/>
            <w:left w:w="108" w:type="dxa"/>
            <w:bottom w:w="0" w:type="dxa"/>
            <w:right w:w="108" w:type="dxa"/>
          </w:tblCellMar>
        </w:tblPrEx>
        <w:trPr>
          <w:trHeight w:val="340" w:hRule="atLeast"/>
          <w:jc w:val="center"/>
        </w:trPr>
        <w:tc>
          <w:tcPr>
            <w:tcW w:w="3137" w:type="dxa"/>
            <w:tcBorders>
              <w:top w:val="nil"/>
              <w:left w:val="single" w:color="auto" w:sz="4" w:space="0"/>
              <w:bottom w:val="single" w:color="auto" w:sz="4" w:space="0"/>
              <w:right w:val="single" w:color="auto" w:sz="4" w:space="0"/>
            </w:tcBorders>
            <w:shd w:val="clear" w:color="auto" w:fill="auto"/>
            <w:vAlign w:val="center"/>
          </w:tcPr>
          <w:p>
            <w:pPr>
              <w:jc w:val="center"/>
              <w:rPr>
                <w:color w:val="auto"/>
                <w:sz w:val="22"/>
              </w:rPr>
            </w:pPr>
            <w:r>
              <w:rPr>
                <w:rFonts w:hint="eastAsia"/>
                <w:color w:val="auto"/>
                <w:sz w:val="22"/>
              </w:rPr>
              <w:t>项目效益</w:t>
            </w:r>
          </w:p>
        </w:tc>
        <w:tc>
          <w:tcPr>
            <w:tcW w:w="2168" w:type="dxa"/>
            <w:tcBorders>
              <w:top w:val="nil"/>
              <w:left w:val="nil"/>
              <w:bottom w:val="single" w:color="auto" w:sz="4" w:space="0"/>
              <w:right w:val="single" w:color="auto" w:sz="4" w:space="0"/>
            </w:tcBorders>
            <w:shd w:val="clear" w:color="auto" w:fill="auto"/>
            <w:vAlign w:val="center"/>
          </w:tcPr>
          <w:p>
            <w:pPr>
              <w:jc w:val="center"/>
              <w:rPr>
                <w:rFonts w:hint="default" w:eastAsia="仿宋_GB2312"/>
                <w:color w:val="auto"/>
                <w:sz w:val="22"/>
                <w:lang w:val="en-US" w:eastAsia="zh-CN"/>
              </w:rPr>
            </w:pPr>
            <w:r>
              <w:rPr>
                <w:rFonts w:hint="eastAsia"/>
                <w:color w:val="auto"/>
                <w:sz w:val="22"/>
                <w:lang w:val="en-US" w:eastAsia="zh-CN"/>
              </w:rPr>
              <w:t>20</w:t>
            </w:r>
          </w:p>
        </w:tc>
        <w:tc>
          <w:tcPr>
            <w:tcW w:w="2278" w:type="dxa"/>
            <w:tcBorders>
              <w:top w:val="nil"/>
              <w:left w:val="nil"/>
              <w:bottom w:val="single" w:color="auto" w:sz="4" w:space="0"/>
              <w:right w:val="single" w:color="auto" w:sz="4" w:space="0"/>
            </w:tcBorders>
            <w:shd w:val="clear" w:color="auto" w:fill="auto"/>
            <w:vAlign w:val="center"/>
          </w:tcPr>
          <w:p>
            <w:pPr>
              <w:jc w:val="center"/>
              <w:rPr>
                <w:rFonts w:hint="default" w:eastAsia="仿宋_GB2312"/>
                <w:color w:val="auto"/>
                <w:sz w:val="22"/>
                <w:lang w:val="en-US" w:eastAsia="zh-CN"/>
              </w:rPr>
            </w:pPr>
            <w:r>
              <w:rPr>
                <w:rFonts w:hint="eastAsia"/>
                <w:color w:val="auto"/>
                <w:sz w:val="22"/>
                <w:lang w:val="en-US" w:eastAsia="zh-CN"/>
              </w:rPr>
              <w:t>18.07</w:t>
            </w:r>
          </w:p>
        </w:tc>
      </w:tr>
      <w:tr>
        <w:tblPrEx>
          <w:tblCellMar>
            <w:top w:w="0" w:type="dxa"/>
            <w:left w:w="108" w:type="dxa"/>
            <w:bottom w:w="0" w:type="dxa"/>
            <w:right w:w="108" w:type="dxa"/>
          </w:tblCellMar>
        </w:tblPrEx>
        <w:trPr>
          <w:trHeight w:val="340" w:hRule="atLeast"/>
          <w:jc w:val="center"/>
        </w:trPr>
        <w:tc>
          <w:tcPr>
            <w:tcW w:w="3137" w:type="dxa"/>
            <w:tcBorders>
              <w:top w:val="nil"/>
              <w:left w:val="single" w:color="auto" w:sz="4" w:space="0"/>
              <w:bottom w:val="single" w:color="auto" w:sz="4" w:space="0"/>
              <w:right w:val="single" w:color="auto" w:sz="4" w:space="0"/>
            </w:tcBorders>
            <w:shd w:val="clear" w:color="auto" w:fill="auto"/>
            <w:vAlign w:val="center"/>
          </w:tcPr>
          <w:p>
            <w:pPr>
              <w:jc w:val="center"/>
              <w:rPr>
                <w:rFonts w:cs="宋体"/>
                <w:b/>
                <w:bCs/>
                <w:color w:val="auto"/>
                <w:sz w:val="22"/>
              </w:rPr>
            </w:pPr>
            <w:r>
              <w:rPr>
                <w:rFonts w:hint="eastAsia" w:cs="宋体"/>
                <w:b/>
                <w:bCs/>
                <w:color w:val="auto"/>
                <w:sz w:val="22"/>
              </w:rPr>
              <w:t>合计</w:t>
            </w:r>
          </w:p>
        </w:tc>
        <w:tc>
          <w:tcPr>
            <w:tcW w:w="2168" w:type="dxa"/>
            <w:tcBorders>
              <w:top w:val="nil"/>
              <w:left w:val="nil"/>
              <w:bottom w:val="single" w:color="auto" w:sz="4" w:space="0"/>
              <w:right w:val="single" w:color="auto" w:sz="4" w:space="0"/>
            </w:tcBorders>
            <w:shd w:val="clear" w:color="auto" w:fill="auto"/>
            <w:vAlign w:val="center"/>
          </w:tcPr>
          <w:p>
            <w:pPr>
              <w:jc w:val="center"/>
              <w:rPr>
                <w:rFonts w:hint="default" w:eastAsia="仿宋_GB2312"/>
                <w:b/>
                <w:bCs/>
                <w:color w:val="auto"/>
                <w:sz w:val="22"/>
                <w:lang w:val="en-US" w:eastAsia="zh-CN"/>
              </w:rPr>
            </w:pPr>
            <w:r>
              <w:rPr>
                <w:rFonts w:hint="eastAsia"/>
                <w:b/>
                <w:bCs/>
                <w:color w:val="auto"/>
                <w:sz w:val="22"/>
                <w:lang w:val="en-US" w:eastAsia="zh-CN"/>
              </w:rPr>
              <w:t>100</w:t>
            </w:r>
          </w:p>
        </w:tc>
        <w:tc>
          <w:tcPr>
            <w:tcW w:w="2278" w:type="dxa"/>
            <w:tcBorders>
              <w:top w:val="nil"/>
              <w:left w:val="nil"/>
              <w:bottom w:val="single" w:color="auto" w:sz="4" w:space="0"/>
              <w:right w:val="single" w:color="auto" w:sz="4" w:space="0"/>
            </w:tcBorders>
            <w:shd w:val="clear" w:color="auto" w:fill="auto"/>
            <w:vAlign w:val="center"/>
          </w:tcPr>
          <w:p>
            <w:pPr>
              <w:jc w:val="center"/>
              <w:rPr>
                <w:rFonts w:hint="default" w:eastAsia="仿宋_GB2312"/>
                <w:b/>
                <w:bCs/>
                <w:color w:val="auto"/>
                <w:sz w:val="22"/>
                <w:lang w:val="en-US" w:eastAsia="zh-CN"/>
              </w:rPr>
            </w:pPr>
            <w:r>
              <w:rPr>
                <w:rFonts w:hint="eastAsia"/>
                <w:b/>
                <w:bCs/>
                <w:color w:val="auto"/>
                <w:sz w:val="22"/>
                <w:lang w:val="en-US" w:eastAsia="zh-CN"/>
              </w:rPr>
              <w:t>91.36</w:t>
            </w:r>
          </w:p>
        </w:tc>
      </w:tr>
    </w:tbl>
    <w:p>
      <w:pPr>
        <w:pStyle w:val="4"/>
        <w:spacing w:line="360" w:lineRule="auto"/>
        <w:rPr>
          <w:rFonts w:ascii="仿宋_GB2312" w:eastAsia="仿宋_GB2312"/>
          <w:b w:val="0"/>
          <w:bCs w:val="0"/>
          <w:color w:val="auto"/>
        </w:rPr>
      </w:pPr>
      <w:bookmarkStart w:id="9" w:name="_Toc68703836"/>
      <w:r>
        <w:rPr>
          <w:rFonts w:hint="eastAsia" w:ascii="仿宋_GB2312" w:eastAsia="仿宋_GB2312"/>
          <w:b w:val="0"/>
          <w:bCs w:val="0"/>
          <w:color w:val="auto"/>
        </w:rPr>
        <w:t>（二）评价结论</w:t>
      </w:r>
      <w:bookmarkEnd w:id="9"/>
    </w:p>
    <w:p>
      <w:pPr>
        <w:spacing w:line="360" w:lineRule="auto"/>
        <w:ind w:firstLine="600" w:firstLineChars="200"/>
        <w:rPr>
          <w:color w:val="auto"/>
        </w:rPr>
      </w:pPr>
      <w:r>
        <w:rPr>
          <w:rFonts w:hint="eastAsia"/>
          <w:color w:val="auto"/>
        </w:rPr>
        <w:t>本项目的项目决策、项目过程、项目产出、项目效益均达到了预期要求，最终得分为</w:t>
      </w:r>
      <w:r>
        <w:rPr>
          <w:rFonts w:hint="eastAsia"/>
          <w:color w:val="auto"/>
          <w:lang w:val="en-US" w:eastAsia="zh-CN"/>
        </w:rPr>
        <w:t>91.36</w:t>
      </w:r>
      <w:r>
        <w:rPr>
          <w:rFonts w:hint="eastAsia"/>
          <w:color w:val="auto"/>
        </w:rPr>
        <w:t>分，项目达成年度指标。</w:t>
      </w:r>
    </w:p>
    <w:p>
      <w:pPr>
        <w:spacing w:line="360" w:lineRule="auto"/>
        <w:ind w:firstLine="600" w:firstLineChars="200"/>
        <w:rPr>
          <w:color w:val="auto"/>
        </w:rPr>
      </w:pPr>
    </w:p>
    <w:p>
      <w:pPr>
        <w:pStyle w:val="3"/>
        <w:spacing w:line="360" w:lineRule="auto"/>
        <w:rPr>
          <w:rFonts w:ascii="宋体" w:hAnsi="宋体" w:eastAsia="宋体"/>
          <w:color w:val="auto"/>
          <w:sz w:val="32"/>
          <w:szCs w:val="32"/>
        </w:rPr>
      </w:pPr>
      <w:bookmarkStart w:id="10" w:name="_Toc68703837"/>
      <w:r>
        <w:rPr>
          <w:rFonts w:hint="eastAsia" w:ascii="宋体" w:hAnsi="宋体" w:eastAsia="宋体"/>
          <w:color w:val="auto"/>
          <w:sz w:val="32"/>
          <w:szCs w:val="32"/>
        </w:rPr>
        <w:t>四、绩效评价指标分析</w:t>
      </w:r>
      <w:bookmarkEnd w:id="10"/>
    </w:p>
    <w:p>
      <w:pPr>
        <w:pStyle w:val="4"/>
        <w:spacing w:line="360" w:lineRule="auto"/>
        <w:rPr>
          <w:rFonts w:ascii="仿宋_GB2312" w:eastAsia="仿宋_GB2312"/>
          <w:b w:val="0"/>
          <w:bCs w:val="0"/>
          <w:color w:val="auto"/>
        </w:rPr>
      </w:pPr>
      <w:bookmarkStart w:id="11" w:name="_Toc68703838"/>
      <w:r>
        <w:rPr>
          <w:rFonts w:hint="eastAsia" w:ascii="仿宋_GB2312" w:eastAsia="仿宋_GB2312"/>
          <w:b w:val="0"/>
          <w:bCs w:val="0"/>
          <w:color w:val="auto"/>
        </w:rPr>
        <w:t>（一）项目决策情况。</w:t>
      </w:r>
      <w:bookmarkEnd w:id="11"/>
    </w:p>
    <w:p>
      <w:pPr>
        <w:spacing w:line="360" w:lineRule="auto"/>
        <w:rPr>
          <w:color w:val="auto"/>
        </w:rPr>
      </w:pPr>
      <w:r>
        <w:rPr>
          <w:rFonts w:hint="eastAsia"/>
          <w:color w:val="auto"/>
        </w:rPr>
        <w:t>1、立项依据充分性</w:t>
      </w:r>
    </w:p>
    <w:p>
      <w:pPr>
        <w:spacing w:line="360" w:lineRule="auto"/>
        <w:ind w:firstLine="600" w:firstLineChars="200"/>
        <w:rPr>
          <w:color w:val="auto"/>
        </w:rPr>
      </w:pPr>
      <w:r>
        <w:rPr>
          <w:rFonts w:hint="eastAsia"/>
          <w:color w:val="auto"/>
        </w:rPr>
        <w:t>①项目立项符合国家法律法规、国民经济发展规划和相关政策；</w:t>
      </w:r>
    </w:p>
    <w:p>
      <w:pPr>
        <w:spacing w:line="360" w:lineRule="auto"/>
        <w:ind w:firstLine="600" w:firstLineChars="200"/>
        <w:rPr>
          <w:color w:val="auto"/>
        </w:rPr>
      </w:pPr>
      <w:r>
        <w:rPr>
          <w:rFonts w:hint="eastAsia"/>
          <w:color w:val="auto"/>
        </w:rPr>
        <w:t>②项目立项符合行业发展规划和政策要求；</w:t>
      </w:r>
    </w:p>
    <w:p>
      <w:pPr>
        <w:spacing w:line="360" w:lineRule="auto"/>
        <w:ind w:firstLine="600" w:firstLineChars="200"/>
        <w:rPr>
          <w:color w:val="auto"/>
        </w:rPr>
      </w:pPr>
      <w:r>
        <w:rPr>
          <w:rFonts w:hint="eastAsia"/>
          <w:color w:val="auto"/>
        </w:rPr>
        <w:t>③项目立项与部门职责范围相符，属于部门履职所需；</w:t>
      </w:r>
    </w:p>
    <w:p>
      <w:pPr>
        <w:spacing w:line="360" w:lineRule="auto"/>
        <w:ind w:firstLine="600" w:firstLineChars="200"/>
        <w:rPr>
          <w:color w:val="auto"/>
        </w:rPr>
      </w:pPr>
      <w:r>
        <w:rPr>
          <w:rFonts w:hint="eastAsia"/>
          <w:color w:val="auto"/>
        </w:rPr>
        <w:t>④项目属于公共财政支持范围，是否符合中央、地方事权支出责任划分原则；</w:t>
      </w:r>
    </w:p>
    <w:p>
      <w:pPr>
        <w:spacing w:line="360" w:lineRule="auto"/>
        <w:ind w:firstLine="600" w:firstLineChars="200"/>
        <w:rPr>
          <w:color w:val="auto"/>
        </w:rPr>
      </w:pPr>
      <w:r>
        <w:rPr>
          <w:rFonts w:hint="eastAsia"/>
          <w:color w:val="auto"/>
        </w:rPr>
        <w:t>⑤项目是否与相关部门同类项目或部门内部相关项目重复。</w:t>
      </w:r>
    </w:p>
    <w:p>
      <w:pPr>
        <w:spacing w:line="360" w:lineRule="auto"/>
        <w:ind w:firstLine="620" w:firstLineChars="200"/>
        <w:rPr>
          <w:rFonts w:hint="eastAsia"/>
          <w:color w:val="auto"/>
        </w:rPr>
      </w:pP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ascii="Times New Roman" w:hAnsi="Times New Roman" w:eastAsia="方正仿宋_GBK" w:cs="Times New Roman"/>
          <w:b w:val="0"/>
          <w:bCs w:val="0"/>
          <w:color w:val="auto"/>
          <w:spacing w:val="0"/>
          <w:kern w:val="2"/>
          <w:sz w:val="31"/>
          <w:szCs w:val="31"/>
          <w:lang w:val="en-US" w:eastAsia="zh-CN" w:bidi="ar-SA"/>
        </w:rPr>
        <w:t>3</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ascii="Times New Roman" w:hAnsi="Times New Roman" w:eastAsia="方正仿宋_GBK" w:cs="Times New Roman"/>
          <w:b w:val="0"/>
          <w:bCs w:val="0"/>
          <w:color w:val="auto"/>
          <w:spacing w:val="0"/>
          <w:kern w:val="2"/>
          <w:sz w:val="31"/>
          <w:szCs w:val="31"/>
          <w:lang w:val="en-US" w:eastAsia="zh-CN" w:bidi="ar-SA"/>
        </w:rPr>
        <w:t>3</w:t>
      </w:r>
      <w:r>
        <w:rPr>
          <w:rFonts w:hint="default" w:ascii="Times New Roman" w:hAnsi="Times New Roman" w:eastAsia="方正仿宋_GBK" w:cs="Times New Roman"/>
          <w:b w:val="0"/>
          <w:bCs w:val="0"/>
          <w:color w:val="auto"/>
          <w:spacing w:val="0"/>
          <w:kern w:val="2"/>
          <w:sz w:val="31"/>
          <w:szCs w:val="31"/>
          <w:lang w:val="en-US" w:eastAsia="zh-CN" w:bidi="ar-SA"/>
        </w:rPr>
        <w:t>分。</w:t>
      </w:r>
    </w:p>
    <w:p>
      <w:pPr>
        <w:spacing w:line="360" w:lineRule="auto"/>
        <w:rPr>
          <w:color w:val="auto"/>
        </w:rPr>
      </w:pPr>
      <w:r>
        <w:rPr>
          <w:rFonts w:hint="eastAsia"/>
          <w:color w:val="auto"/>
        </w:rPr>
        <w:t>2、立项程序规范性</w:t>
      </w:r>
    </w:p>
    <w:p>
      <w:pPr>
        <w:spacing w:line="360" w:lineRule="auto"/>
        <w:ind w:firstLine="600" w:firstLineChars="200"/>
        <w:rPr>
          <w:color w:val="auto"/>
        </w:rPr>
      </w:pPr>
      <w:r>
        <w:rPr>
          <w:rFonts w:hint="eastAsia"/>
          <w:color w:val="auto"/>
        </w:rPr>
        <w:t>①项目按照规定的程序申请设立；</w:t>
      </w:r>
    </w:p>
    <w:p>
      <w:pPr>
        <w:spacing w:line="360" w:lineRule="auto"/>
        <w:ind w:firstLine="600" w:firstLineChars="200"/>
        <w:rPr>
          <w:color w:val="auto"/>
        </w:rPr>
      </w:pPr>
      <w:r>
        <w:rPr>
          <w:rFonts w:hint="eastAsia"/>
          <w:color w:val="auto"/>
        </w:rPr>
        <w:t>②审批文件、材料符合相关要求；</w:t>
      </w:r>
    </w:p>
    <w:p>
      <w:pPr>
        <w:spacing w:line="360" w:lineRule="auto"/>
        <w:ind w:firstLine="600" w:firstLineChars="200"/>
        <w:rPr>
          <w:color w:val="auto"/>
        </w:rPr>
      </w:pPr>
      <w:r>
        <w:rPr>
          <w:rFonts w:hint="eastAsia"/>
          <w:color w:val="auto"/>
        </w:rPr>
        <w:t>③事前已经过必要的可行性研究、专家论证、风险评估、绩效评估、集体决策。</w:t>
      </w:r>
    </w:p>
    <w:p>
      <w:pPr>
        <w:spacing w:line="360" w:lineRule="auto"/>
        <w:ind w:firstLine="620" w:firstLineChars="200"/>
        <w:rPr>
          <w:rFonts w:hint="eastAsia"/>
          <w:color w:val="auto"/>
        </w:rPr>
      </w:pP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ascii="Times New Roman" w:hAnsi="Times New Roman" w:eastAsia="方正仿宋_GBK" w:cs="Times New Roman"/>
          <w:b w:val="0"/>
          <w:bCs w:val="0"/>
          <w:color w:val="auto"/>
          <w:spacing w:val="0"/>
          <w:kern w:val="2"/>
          <w:sz w:val="31"/>
          <w:szCs w:val="31"/>
          <w:lang w:val="en-US" w:eastAsia="zh-CN" w:bidi="ar-SA"/>
        </w:rPr>
        <w:t>3</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ascii="Times New Roman" w:hAnsi="Times New Roman" w:eastAsia="方正仿宋_GBK" w:cs="Times New Roman"/>
          <w:b w:val="0"/>
          <w:bCs w:val="0"/>
          <w:color w:val="auto"/>
          <w:spacing w:val="0"/>
          <w:kern w:val="2"/>
          <w:sz w:val="31"/>
          <w:szCs w:val="31"/>
          <w:lang w:val="en-US" w:eastAsia="zh-CN" w:bidi="ar-SA"/>
        </w:rPr>
        <w:t>3</w:t>
      </w:r>
      <w:r>
        <w:rPr>
          <w:rFonts w:hint="default" w:ascii="Times New Roman" w:hAnsi="Times New Roman" w:eastAsia="方正仿宋_GBK" w:cs="Times New Roman"/>
          <w:b w:val="0"/>
          <w:bCs w:val="0"/>
          <w:color w:val="auto"/>
          <w:spacing w:val="0"/>
          <w:kern w:val="2"/>
          <w:sz w:val="31"/>
          <w:szCs w:val="31"/>
          <w:lang w:val="en-US" w:eastAsia="zh-CN" w:bidi="ar-SA"/>
        </w:rPr>
        <w:t>分。</w:t>
      </w:r>
    </w:p>
    <w:p>
      <w:pPr>
        <w:spacing w:line="360" w:lineRule="auto"/>
        <w:rPr>
          <w:color w:val="auto"/>
        </w:rPr>
      </w:pPr>
      <w:r>
        <w:rPr>
          <w:rFonts w:hint="eastAsia"/>
          <w:color w:val="auto"/>
        </w:rPr>
        <w:t>3、绩效目标合理性</w:t>
      </w:r>
    </w:p>
    <w:p>
      <w:pPr>
        <w:spacing w:line="360" w:lineRule="auto"/>
        <w:ind w:firstLine="600" w:firstLineChars="200"/>
        <w:rPr>
          <w:color w:val="auto"/>
        </w:rPr>
      </w:pPr>
      <w:r>
        <w:rPr>
          <w:rFonts w:hint="eastAsia"/>
          <w:color w:val="auto"/>
        </w:rPr>
        <w:t>城乡义务教育补助经费项目设立了项目绩效目标，与城乡义务教育补助经费具有相关性，项目的预期产出效益和效果也均能符合正常的业绩水平，并且与预算确定的项目投资额或资金量相匹配。</w:t>
      </w:r>
    </w:p>
    <w:p>
      <w:pPr>
        <w:spacing w:line="360" w:lineRule="auto"/>
        <w:ind w:firstLine="620" w:firstLineChars="200"/>
        <w:rPr>
          <w:rFonts w:hint="eastAsia"/>
          <w:color w:val="auto"/>
        </w:rPr>
      </w:pP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ascii="Times New Roman" w:hAnsi="Times New Roman" w:eastAsia="方正仿宋_GBK" w:cs="Times New Roman"/>
          <w:b w:val="0"/>
          <w:bCs w:val="0"/>
          <w:color w:val="auto"/>
          <w:spacing w:val="0"/>
          <w:kern w:val="2"/>
          <w:sz w:val="31"/>
          <w:szCs w:val="31"/>
          <w:lang w:val="en-US" w:eastAsia="zh-CN" w:bidi="ar-SA"/>
        </w:rPr>
        <w:t>3</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ascii="Times New Roman" w:hAnsi="Times New Roman" w:eastAsia="方正仿宋_GBK" w:cs="Times New Roman"/>
          <w:b w:val="0"/>
          <w:bCs w:val="0"/>
          <w:color w:val="auto"/>
          <w:spacing w:val="0"/>
          <w:kern w:val="2"/>
          <w:sz w:val="31"/>
          <w:szCs w:val="31"/>
          <w:lang w:val="en-US" w:eastAsia="zh-CN" w:bidi="ar-SA"/>
        </w:rPr>
        <w:t>3</w:t>
      </w:r>
      <w:r>
        <w:rPr>
          <w:rFonts w:hint="default" w:ascii="Times New Roman" w:hAnsi="Times New Roman" w:eastAsia="方正仿宋_GBK" w:cs="Times New Roman"/>
          <w:b w:val="0"/>
          <w:bCs w:val="0"/>
          <w:color w:val="auto"/>
          <w:spacing w:val="0"/>
          <w:kern w:val="2"/>
          <w:sz w:val="31"/>
          <w:szCs w:val="31"/>
          <w:lang w:val="en-US" w:eastAsia="zh-CN" w:bidi="ar-SA"/>
        </w:rPr>
        <w:t>分。</w:t>
      </w:r>
    </w:p>
    <w:p>
      <w:pPr>
        <w:spacing w:line="360" w:lineRule="auto"/>
        <w:rPr>
          <w:color w:val="auto"/>
        </w:rPr>
      </w:pPr>
      <w:r>
        <w:rPr>
          <w:rFonts w:hint="eastAsia"/>
          <w:color w:val="auto"/>
        </w:rPr>
        <w:t>4、绩效指标明确性</w:t>
      </w:r>
    </w:p>
    <w:p>
      <w:pPr>
        <w:spacing w:line="360" w:lineRule="auto"/>
        <w:ind w:firstLine="600" w:firstLineChars="200"/>
        <w:rPr>
          <w:color w:val="auto"/>
        </w:rPr>
      </w:pPr>
      <w:bookmarkStart w:id="12" w:name="_Hlk68699917"/>
      <w:r>
        <w:rPr>
          <w:rFonts w:hint="eastAsia"/>
          <w:color w:val="auto"/>
        </w:rPr>
        <w:t>城乡义务教育补助经费项目将项目绩效目标细化分解为具体的绩效指标，一级指标共</w:t>
      </w:r>
      <w:r>
        <w:rPr>
          <w:rFonts w:hint="eastAsia"/>
          <w:color w:val="auto"/>
          <w:lang w:val="en-US" w:eastAsia="zh-CN"/>
        </w:rPr>
        <w:t>4</w:t>
      </w:r>
      <w:r>
        <w:rPr>
          <w:rFonts w:hint="eastAsia"/>
          <w:color w:val="auto"/>
        </w:rPr>
        <w:t>条，二级指标共</w:t>
      </w:r>
      <w:r>
        <w:rPr>
          <w:rFonts w:hint="eastAsia"/>
          <w:color w:val="auto"/>
          <w:lang w:val="en-US" w:eastAsia="zh-CN"/>
        </w:rPr>
        <w:t>5</w:t>
      </w:r>
      <w:r>
        <w:rPr>
          <w:rFonts w:hint="eastAsia"/>
          <w:color w:val="auto"/>
        </w:rPr>
        <w:t>条，三级指标共</w:t>
      </w:r>
      <w:r>
        <w:rPr>
          <w:rFonts w:hint="eastAsia"/>
          <w:color w:val="auto"/>
          <w:lang w:val="en-US" w:eastAsia="zh-CN"/>
        </w:rPr>
        <w:t>8</w:t>
      </w:r>
      <w:r>
        <w:rPr>
          <w:rFonts w:hint="eastAsia"/>
          <w:color w:val="auto"/>
        </w:rPr>
        <w:t>条，其中量化指标条数共</w:t>
      </w:r>
      <w:r>
        <w:rPr>
          <w:rFonts w:hint="eastAsia"/>
          <w:color w:val="auto"/>
          <w:lang w:val="en-US" w:eastAsia="zh-CN"/>
        </w:rPr>
        <w:t>0</w:t>
      </w:r>
      <w:r>
        <w:rPr>
          <w:rFonts w:hint="eastAsia"/>
          <w:color w:val="auto"/>
        </w:rPr>
        <w:t>条，所有绩效指标均通过清晰、可衡量的指标值予以体现，并且做到了与项目目标任务数或计划数相对应。</w:t>
      </w:r>
      <w:bookmarkEnd w:id="12"/>
    </w:p>
    <w:p>
      <w:pPr>
        <w:spacing w:line="360" w:lineRule="auto"/>
        <w:ind w:firstLine="620" w:firstLineChars="200"/>
        <w:rPr>
          <w:rFonts w:hint="eastAsia"/>
          <w:color w:val="auto"/>
        </w:rPr>
      </w:pP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ascii="Times New Roman" w:hAnsi="Times New Roman" w:eastAsia="方正仿宋_GBK" w:cs="Times New Roman"/>
          <w:b w:val="0"/>
          <w:bCs w:val="0"/>
          <w:color w:val="auto"/>
          <w:spacing w:val="0"/>
          <w:kern w:val="2"/>
          <w:sz w:val="31"/>
          <w:szCs w:val="31"/>
          <w:lang w:val="en-US" w:eastAsia="zh-CN" w:bidi="ar-SA"/>
        </w:rPr>
        <w:t>3</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ascii="Times New Roman" w:hAnsi="Times New Roman" w:eastAsia="方正仿宋_GBK" w:cs="Times New Roman"/>
          <w:b w:val="0"/>
          <w:bCs w:val="0"/>
          <w:color w:val="auto"/>
          <w:spacing w:val="0"/>
          <w:kern w:val="2"/>
          <w:sz w:val="31"/>
          <w:szCs w:val="31"/>
          <w:lang w:val="en-US" w:eastAsia="zh-CN" w:bidi="ar-SA"/>
        </w:rPr>
        <w:t>3</w:t>
      </w:r>
      <w:r>
        <w:rPr>
          <w:rFonts w:hint="default" w:ascii="Times New Roman" w:hAnsi="Times New Roman" w:eastAsia="方正仿宋_GBK" w:cs="Times New Roman"/>
          <w:b w:val="0"/>
          <w:bCs w:val="0"/>
          <w:color w:val="auto"/>
          <w:spacing w:val="0"/>
          <w:kern w:val="2"/>
          <w:sz w:val="31"/>
          <w:szCs w:val="31"/>
          <w:lang w:val="en-US" w:eastAsia="zh-CN" w:bidi="ar-SA"/>
        </w:rPr>
        <w:t>分。</w:t>
      </w:r>
    </w:p>
    <w:p>
      <w:pPr>
        <w:spacing w:line="360" w:lineRule="auto"/>
        <w:rPr>
          <w:color w:val="auto"/>
        </w:rPr>
      </w:pPr>
      <w:r>
        <w:rPr>
          <w:rFonts w:hint="eastAsia"/>
          <w:color w:val="auto"/>
        </w:rPr>
        <w:t>5、预算编制科学性</w:t>
      </w:r>
    </w:p>
    <w:p>
      <w:pPr>
        <w:spacing w:line="360" w:lineRule="auto"/>
        <w:rPr>
          <w:color w:val="auto"/>
        </w:rPr>
      </w:pPr>
      <w:r>
        <w:rPr>
          <w:rFonts w:hint="eastAsia"/>
          <w:color w:val="auto"/>
        </w:rPr>
        <w:t>①预算编制经过科学论证；</w:t>
      </w:r>
    </w:p>
    <w:p>
      <w:pPr>
        <w:spacing w:line="360" w:lineRule="auto"/>
        <w:rPr>
          <w:color w:val="auto"/>
        </w:rPr>
      </w:pPr>
      <w:r>
        <w:rPr>
          <w:rFonts w:hint="eastAsia"/>
          <w:color w:val="auto"/>
        </w:rPr>
        <w:t>②预算内容与项目内容匹配；</w:t>
      </w:r>
    </w:p>
    <w:p>
      <w:pPr>
        <w:spacing w:line="360" w:lineRule="auto"/>
        <w:rPr>
          <w:color w:val="auto"/>
        </w:rPr>
      </w:pPr>
      <w:r>
        <w:rPr>
          <w:rFonts w:hint="eastAsia"/>
          <w:color w:val="auto"/>
        </w:rPr>
        <w:t>③预算额度测算依据充分，是否按照标准编制；</w:t>
      </w:r>
    </w:p>
    <w:p>
      <w:pPr>
        <w:spacing w:line="360" w:lineRule="auto"/>
        <w:rPr>
          <w:color w:val="auto"/>
        </w:rPr>
      </w:pPr>
      <w:r>
        <w:rPr>
          <w:rFonts w:hint="eastAsia"/>
          <w:color w:val="auto"/>
        </w:rPr>
        <w:t>④预算确定的项目投资额或资金量与工作任务相匹配。</w:t>
      </w:r>
    </w:p>
    <w:p>
      <w:pPr>
        <w:spacing w:line="360" w:lineRule="auto"/>
        <w:ind w:firstLine="620" w:firstLineChars="200"/>
        <w:rPr>
          <w:rFonts w:hint="eastAsia"/>
          <w:color w:val="auto"/>
        </w:rPr>
      </w:pP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ascii="Times New Roman" w:hAnsi="Times New Roman" w:eastAsia="方正仿宋_GBK" w:cs="Times New Roman"/>
          <w:b w:val="0"/>
          <w:bCs w:val="0"/>
          <w:color w:val="auto"/>
          <w:spacing w:val="0"/>
          <w:kern w:val="2"/>
          <w:sz w:val="31"/>
          <w:szCs w:val="31"/>
          <w:lang w:val="en-US" w:eastAsia="zh-CN" w:bidi="ar-SA"/>
        </w:rPr>
        <w:t>3</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ascii="Times New Roman" w:hAnsi="Times New Roman" w:eastAsia="方正仿宋_GBK" w:cs="Times New Roman"/>
          <w:b w:val="0"/>
          <w:bCs w:val="0"/>
          <w:color w:val="auto"/>
          <w:spacing w:val="0"/>
          <w:kern w:val="2"/>
          <w:sz w:val="31"/>
          <w:szCs w:val="31"/>
          <w:lang w:val="en-US" w:eastAsia="zh-CN" w:bidi="ar-SA"/>
        </w:rPr>
        <w:t>3</w:t>
      </w:r>
      <w:r>
        <w:rPr>
          <w:rFonts w:hint="default" w:ascii="Times New Roman" w:hAnsi="Times New Roman" w:eastAsia="方正仿宋_GBK" w:cs="Times New Roman"/>
          <w:b w:val="0"/>
          <w:bCs w:val="0"/>
          <w:color w:val="auto"/>
          <w:spacing w:val="0"/>
          <w:kern w:val="2"/>
          <w:sz w:val="31"/>
          <w:szCs w:val="31"/>
          <w:lang w:val="en-US" w:eastAsia="zh-CN" w:bidi="ar-SA"/>
        </w:rPr>
        <w:t>分。</w:t>
      </w:r>
    </w:p>
    <w:p>
      <w:pPr>
        <w:spacing w:line="360" w:lineRule="auto"/>
        <w:rPr>
          <w:color w:val="auto"/>
        </w:rPr>
      </w:pPr>
      <w:r>
        <w:rPr>
          <w:rFonts w:hint="eastAsia"/>
          <w:color w:val="auto"/>
        </w:rPr>
        <w:t>6、资金分配合理性</w:t>
      </w:r>
    </w:p>
    <w:p>
      <w:pPr>
        <w:spacing w:line="360" w:lineRule="auto"/>
        <w:rPr>
          <w:color w:val="auto"/>
        </w:rPr>
      </w:pPr>
      <w:r>
        <w:rPr>
          <w:rFonts w:hint="eastAsia"/>
          <w:color w:val="auto"/>
        </w:rPr>
        <w:t>①预算资金分配依据充分；</w:t>
      </w:r>
    </w:p>
    <w:p>
      <w:pPr>
        <w:spacing w:line="360" w:lineRule="auto"/>
        <w:rPr>
          <w:rFonts w:hint="eastAsia"/>
          <w:color w:val="auto"/>
        </w:rPr>
      </w:pPr>
      <w:r>
        <w:rPr>
          <w:rFonts w:hint="eastAsia"/>
          <w:color w:val="auto"/>
        </w:rPr>
        <w:t>②资金分配额度合理，与项目单位或地方实际是否相适应。</w:t>
      </w:r>
      <w:bookmarkStart w:id="13" w:name="_Toc68703839"/>
    </w:p>
    <w:p>
      <w:pPr>
        <w:spacing w:line="360" w:lineRule="auto"/>
        <w:ind w:firstLine="620" w:firstLineChars="200"/>
        <w:rPr>
          <w:rFonts w:hint="eastAsia"/>
          <w:color w:val="auto"/>
        </w:rPr>
      </w:pP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ascii="Times New Roman" w:hAnsi="Times New Roman" w:eastAsia="方正仿宋_GBK" w:cs="Times New Roman"/>
          <w:b w:val="0"/>
          <w:bCs w:val="0"/>
          <w:color w:val="auto"/>
          <w:spacing w:val="0"/>
          <w:kern w:val="2"/>
          <w:sz w:val="31"/>
          <w:szCs w:val="31"/>
          <w:lang w:val="en-US" w:eastAsia="zh-CN" w:bidi="ar-SA"/>
        </w:rPr>
        <w:t>5</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ascii="Times New Roman" w:hAnsi="Times New Roman" w:eastAsia="方正仿宋_GBK" w:cs="Times New Roman"/>
          <w:b w:val="0"/>
          <w:bCs w:val="0"/>
          <w:color w:val="auto"/>
          <w:spacing w:val="0"/>
          <w:kern w:val="2"/>
          <w:sz w:val="31"/>
          <w:szCs w:val="31"/>
          <w:lang w:val="en-US" w:eastAsia="zh-CN" w:bidi="ar-SA"/>
        </w:rPr>
        <w:t>5</w:t>
      </w:r>
      <w:r>
        <w:rPr>
          <w:rFonts w:hint="default" w:ascii="Times New Roman" w:hAnsi="Times New Roman" w:eastAsia="方正仿宋_GBK" w:cs="Times New Roman"/>
          <w:b w:val="0"/>
          <w:bCs w:val="0"/>
          <w:color w:val="auto"/>
          <w:spacing w:val="0"/>
          <w:kern w:val="2"/>
          <w:sz w:val="31"/>
          <w:szCs w:val="31"/>
          <w:lang w:val="en-US" w:eastAsia="zh-CN" w:bidi="ar-SA"/>
        </w:rPr>
        <w:t>分。</w:t>
      </w:r>
    </w:p>
    <w:p>
      <w:pPr>
        <w:pStyle w:val="5"/>
        <w:rPr>
          <w:rFonts w:hint="eastAsia"/>
        </w:rPr>
      </w:pPr>
    </w:p>
    <w:p>
      <w:pPr>
        <w:pStyle w:val="4"/>
        <w:spacing w:line="360" w:lineRule="auto"/>
        <w:rPr>
          <w:rFonts w:ascii="仿宋_GB2312" w:eastAsia="仿宋_GB2312"/>
          <w:b w:val="0"/>
          <w:bCs w:val="0"/>
          <w:color w:val="auto"/>
        </w:rPr>
      </w:pPr>
      <w:r>
        <w:rPr>
          <w:rFonts w:hint="eastAsia" w:ascii="仿宋_GB2312" w:eastAsia="仿宋_GB2312"/>
          <w:b w:val="0"/>
          <w:bCs w:val="0"/>
          <w:color w:val="auto"/>
        </w:rPr>
        <w:t>（二）项目过程情况。</w:t>
      </w:r>
      <w:bookmarkEnd w:id="13"/>
    </w:p>
    <w:p>
      <w:pPr>
        <w:spacing w:line="360" w:lineRule="auto"/>
        <w:rPr>
          <w:color w:val="auto"/>
        </w:rPr>
      </w:pPr>
      <w:r>
        <w:rPr>
          <w:rFonts w:hint="eastAsia"/>
          <w:color w:val="auto"/>
        </w:rPr>
        <w:t>1、资金到位率：</w:t>
      </w:r>
    </w:p>
    <w:p>
      <w:pPr>
        <w:spacing w:line="360" w:lineRule="auto"/>
        <w:ind w:firstLine="600" w:firstLineChars="200"/>
        <w:rPr>
          <w:rFonts w:hint="eastAsia" w:eastAsia="仿宋_GB2312"/>
          <w:color w:val="auto"/>
          <w:lang w:eastAsia="zh-CN"/>
        </w:rPr>
      </w:pPr>
      <w:r>
        <w:rPr>
          <w:rFonts w:hint="eastAsia"/>
          <w:color w:val="auto"/>
        </w:rPr>
        <w:t>实际到位资金</w:t>
      </w:r>
      <w:r>
        <w:rPr>
          <w:rFonts w:hint="eastAsia"/>
          <w:color w:val="auto"/>
          <w:lang w:val="en-US" w:eastAsia="zh-CN"/>
        </w:rPr>
        <w:t>964.14</w:t>
      </w:r>
      <w:r>
        <w:rPr>
          <w:rFonts w:hint="eastAsia"/>
          <w:color w:val="auto"/>
        </w:rPr>
        <w:t>万元，预算资金</w:t>
      </w:r>
      <w:r>
        <w:rPr>
          <w:rFonts w:hint="eastAsia"/>
          <w:color w:val="auto"/>
          <w:lang w:val="en-US" w:eastAsia="zh-CN"/>
        </w:rPr>
        <w:t>964.14</w:t>
      </w:r>
      <w:r>
        <w:rPr>
          <w:rFonts w:hint="eastAsia"/>
          <w:color w:val="auto"/>
        </w:rPr>
        <w:t>万元，资金到位率</w:t>
      </w:r>
      <w:r>
        <w:rPr>
          <w:rFonts w:hint="eastAsia"/>
          <w:color w:val="auto"/>
          <w:lang w:val="en-US" w:eastAsia="zh-CN"/>
        </w:rPr>
        <w:t>100</w:t>
      </w:r>
      <w:r>
        <w:rPr>
          <w:rFonts w:hint="eastAsia"/>
          <w:color w:val="auto"/>
        </w:rPr>
        <w:t>%</w:t>
      </w:r>
      <w:r>
        <w:rPr>
          <w:rFonts w:hint="eastAsia"/>
          <w:color w:val="auto"/>
          <w:lang w:eastAsia="zh-CN"/>
        </w:rPr>
        <w:t>。</w:t>
      </w:r>
    </w:p>
    <w:p>
      <w:pPr>
        <w:spacing w:line="360" w:lineRule="auto"/>
        <w:ind w:firstLine="620" w:firstLineChars="200"/>
        <w:rPr>
          <w:rFonts w:hint="eastAsia"/>
          <w:color w:val="auto"/>
        </w:rPr>
      </w:pP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ascii="Times New Roman" w:hAnsi="Times New Roman" w:eastAsia="方正仿宋_GBK" w:cs="Times New Roman"/>
          <w:b w:val="0"/>
          <w:bCs w:val="0"/>
          <w:color w:val="auto"/>
          <w:spacing w:val="0"/>
          <w:kern w:val="2"/>
          <w:sz w:val="31"/>
          <w:szCs w:val="31"/>
          <w:lang w:val="en-US" w:eastAsia="zh-CN" w:bidi="ar-SA"/>
        </w:rPr>
        <w:t>4</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ascii="Times New Roman" w:hAnsi="Times New Roman" w:eastAsia="方正仿宋_GBK" w:cs="Times New Roman"/>
          <w:b w:val="0"/>
          <w:bCs w:val="0"/>
          <w:color w:val="auto"/>
          <w:spacing w:val="0"/>
          <w:kern w:val="2"/>
          <w:sz w:val="31"/>
          <w:szCs w:val="31"/>
          <w:lang w:val="en-US" w:eastAsia="zh-CN" w:bidi="ar-SA"/>
        </w:rPr>
        <w:t>4</w:t>
      </w:r>
      <w:r>
        <w:rPr>
          <w:rFonts w:hint="default" w:ascii="Times New Roman" w:hAnsi="Times New Roman" w:eastAsia="方正仿宋_GBK" w:cs="Times New Roman"/>
          <w:b w:val="0"/>
          <w:bCs w:val="0"/>
          <w:color w:val="auto"/>
          <w:spacing w:val="0"/>
          <w:kern w:val="2"/>
          <w:sz w:val="31"/>
          <w:szCs w:val="31"/>
          <w:lang w:val="en-US" w:eastAsia="zh-CN" w:bidi="ar-SA"/>
        </w:rPr>
        <w:t>分。</w:t>
      </w:r>
    </w:p>
    <w:p>
      <w:pPr>
        <w:spacing w:line="360" w:lineRule="auto"/>
        <w:rPr>
          <w:color w:val="auto"/>
        </w:rPr>
      </w:pPr>
      <w:r>
        <w:rPr>
          <w:rFonts w:hint="eastAsia"/>
          <w:color w:val="auto"/>
        </w:rPr>
        <w:t>2、预算执行率</w:t>
      </w:r>
    </w:p>
    <w:p>
      <w:pPr>
        <w:spacing w:line="360" w:lineRule="auto"/>
        <w:ind w:firstLine="600" w:firstLineChars="200"/>
        <w:rPr>
          <w:rFonts w:hint="eastAsia" w:eastAsia="仿宋_GB2312"/>
          <w:color w:val="auto"/>
          <w:lang w:eastAsia="zh-CN"/>
        </w:rPr>
      </w:pPr>
      <w:r>
        <w:rPr>
          <w:rFonts w:hint="eastAsia"/>
          <w:color w:val="auto"/>
        </w:rPr>
        <w:t>年初预算数</w:t>
      </w:r>
      <w:r>
        <w:rPr>
          <w:rFonts w:hint="eastAsia"/>
          <w:color w:val="auto"/>
          <w:lang w:val="en-US" w:eastAsia="zh-CN"/>
        </w:rPr>
        <w:t>964.14</w:t>
      </w:r>
      <w:r>
        <w:rPr>
          <w:color w:val="auto"/>
        </w:rPr>
        <w:t xml:space="preserve"> </w:t>
      </w:r>
      <w:r>
        <w:rPr>
          <w:rFonts w:hint="eastAsia"/>
          <w:color w:val="auto"/>
        </w:rPr>
        <w:t>万元，全年预算数</w:t>
      </w:r>
      <w:r>
        <w:rPr>
          <w:rFonts w:hint="eastAsia"/>
          <w:color w:val="auto"/>
          <w:lang w:val="en-US" w:eastAsia="zh-CN"/>
        </w:rPr>
        <w:t>964.14</w:t>
      </w:r>
      <w:r>
        <w:rPr>
          <w:rFonts w:hint="eastAsia"/>
          <w:color w:val="auto"/>
        </w:rPr>
        <w:t>万元（有年中追加资金，全年预算数=年初预算数+追加资金），全年执行数</w:t>
      </w:r>
      <w:r>
        <w:rPr>
          <w:rFonts w:hint="eastAsia"/>
          <w:color w:val="auto"/>
          <w:lang w:val="en-US" w:eastAsia="zh-CN"/>
        </w:rPr>
        <w:t>778.34</w:t>
      </w:r>
      <w:r>
        <w:rPr>
          <w:rFonts w:hint="eastAsia"/>
          <w:color w:val="auto"/>
        </w:rPr>
        <w:t>万元，预算执行率为</w:t>
      </w:r>
      <w:r>
        <w:rPr>
          <w:rFonts w:hint="eastAsia"/>
          <w:color w:val="auto"/>
          <w:lang w:val="en-US" w:eastAsia="zh-CN"/>
        </w:rPr>
        <w:t>80.73</w:t>
      </w:r>
      <w:r>
        <w:rPr>
          <w:rFonts w:hint="eastAsia"/>
          <w:color w:val="auto"/>
        </w:rPr>
        <w:t>%</w:t>
      </w:r>
      <w:r>
        <w:rPr>
          <w:rFonts w:hint="eastAsia"/>
          <w:color w:val="auto"/>
          <w:lang w:eastAsia="zh-CN"/>
        </w:rPr>
        <w:t>。</w:t>
      </w:r>
    </w:p>
    <w:p>
      <w:pPr>
        <w:spacing w:line="360" w:lineRule="auto"/>
        <w:ind w:firstLine="620" w:firstLineChars="200"/>
        <w:rPr>
          <w:rFonts w:hint="eastAsia"/>
          <w:color w:val="auto"/>
        </w:rPr>
      </w:pP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ascii="Times New Roman" w:hAnsi="Times New Roman" w:eastAsia="方正仿宋_GBK" w:cs="Times New Roman"/>
          <w:b w:val="0"/>
          <w:bCs w:val="0"/>
          <w:color w:val="auto"/>
          <w:spacing w:val="0"/>
          <w:kern w:val="2"/>
          <w:sz w:val="31"/>
          <w:szCs w:val="31"/>
          <w:lang w:val="en-US" w:eastAsia="zh-CN" w:bidi="ar-SA"/>
        </w:rPr>
        <w:t>4</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ascii="Times New Roman" w:hAnsi="Times New Roman" w:eastAsia="方正仿宋_GBK" w:cs="Times New Roman"/>
          <w:b w:val="0"/>
          <w:bCs w:val="0"/>
          <w:color w:val="auto"/>
          <w:spacing w:val="0"/>
          <w:kern w:val="2"/>
          <w:sz w:val="31"/>
          <w:szCs w:val="31"/>
          <w:lang w:val="en-US" w:eastAsia="zh-CN" w:bidi="ar-SA"/>
        </w:rPr>
        <w:t>3.23</w:t>
      </w:r>
      <w:r>
        <w:rPr>
          <w:rFonts w:hint="default" w:ascii="Times New Roman" w:hAnsi="Times New Roman" w:eastAsia="方正仿宋_GBK" w:cs="Times New Roman"/>
          <w:b w:val="0"/>
          <w:bCs w:val="0"/>
          <w:color w:val="auto"/>
          <w:spacing w:val="0"/>
          <w:kern w:val="2"/>
          <w:sz w:val="31"/>
          <w:szCs w:val="31"/>
          <w:lang w:val="en-US" w:eastAsia="zh-CN" w:bidi="ar-SA"/>
        </w:rPr>
        <w:t>分。</w:t>
      </w:r>
    </w:p>
    <w:p>
      <w:pPr>
        <w:spacing w:line="360" w:lineRule="auto"/>
        <w:rPr>
          <w:color w:val="auto"/>
        </w:rPr>
      </w:pPr>
      <w:r>
        <w:rPr>
          <w:rFonts w:hint="eastAsia"/>
          <w:color w:val="auto"/>
        </w:rPr>
        <w:t>3、资金使用合规性</w:t>
      </w:r>
    </w:p>
    <w:p>
      <w:pPr>
        <w:spacing w:line="360" w:lineRule="auto"/>
        <w:rPr>
          <w:color w:val="auto"/>
        </w:rPr>
      </w:pPr>
      <w:r>
        <w:rPr>
          <w:rFonts w:hint="eastAsia"/>
          <w:color w:val="auto"/>
        </w:rPr>
        <w:t>①符合国家财经法规和财务管理制度以及有关专项资金管理办法的规定；</w:t>
      </w:r>
    </w:p>
    <w:p>
      <w:pPr>
        <w:spacing w:line="360" w:lineRule="auto"/>
        <w:rPr>
          <w:color w:val="auto"/>
        </w:rPr>
      </w:pPr>
      <w:r>
        <w:rPr>
          <w:rFonts w:hint="eastAsia"/>
          <w:color w:val="auto"/>
        </w:rPr>
        <w:t>②资金的拨付有完整的审批程序和手续；</w:t>
      </w:r>
    </w:p>
    <w:p>
      <w:pPr>
        <w:spacing w:line="360" w:lineRule="auto"/>
        <w:rPr>
          <w:color w:val="auto"/>
        </w:rPr>
      </w:pPr>
      <w:r>
        <w:rPr>
          <w:rFonts w:hint="eastAsia"/>
          <w:color w:val="auto"/>
        </w:rPr>
        <w:t>③符合项目预算批复或合同规定的用途；</w:t>
      </w:r>
    </w:p>
    <w:p>
      <w:pPr>
        <w:spacing w:line="360" w:lineRule="auto"/>
        <w:rPr>
          <w:color w:val="auto"/>
        </w:rPr>
      </w:pPr>
      <w:r>
        <w:rPr>
          <w:rFonts w:hint="eastAsia"/>
          <w:color w:val="auto"/>
        </w:rPr>
        <w:t>④存在截留、挤占、挪用、虚列支出等情况。</w:t>
      </w:r>
    </w:p>
    <w:p>
      <w:pPr>
        <w:spacing w:line="360" w:lineRule="auto"/>
        <w:ind w:firstLine="620" w:firstLineChars="200"/>
        <w:rPr>
          <w:rFonts w:hint="eastAsia"/>
          <w:color w:val="auto"/>
        </w:rPr>
      </w:pP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ascii="Times New Roman" w:hAnsi="Times New Roman" w:eastAsia="方正仿宋_GBK" w:cs="Times New Roman"/>
          <w:b w:val="0"/>
          <w:bCs w:val="0"/>
          <w:color w:val="auto"/>
          <w:spacing w:val="0"/>
          <w:kern w:val="2"/>
          <w:sz w:val="31"/>
          <w:szCs w:val="31"/>
          <w:lang w:val="en-US" w:eastAsia="zh-CN" w:bidi="ar-SA"/>
        </w:rPr>
        <w:t>4</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ascii="Times New Roman" w:hAnsi="Times New Roman" w:eastAsia="方正仿宋_GBK" w:cs="Times New Roman"/>
          <w:b w:val="0"/>
          <w:bCs w:val="0"/>
          <w:color w:val="auto"/>
          <w:spacing w:val="0"/>
          <w:kern w:val="2"/>
          <w:sz w:val="31"/>
          <w:szCs w:val="31"/>
          <w:lang w:val="en-US" w:eastAsia="zh-CN" w:bidi="ar-SA"/>
        </w:rPr>
        <w:t>4</w:t>
      </w:r>
      <w:r>
        <w:rPr>
          <w:rFonts w:hint="default" w:ascii="Times New Roman" w:hAnsi="Times New Roman" w:eastAsia="方正仿宋_GBK" w:cs="Times New Roman"/>
          <w:b w:val="0"/>
          <w:bCs w:val="0"/>
          <w:color w:val="auto"/>
          <w:spacing w:val="0"/>
          <w:kern w:val="2"/>
          <w:sz w:val="31"/>
          <w:szCs w:val="31"/>
          <w:lang w:val="en-US" w:eastAsia="zh-CN" w:bidi="ar-SA"/>
        </w:rPr>
        <w:t>分。</w:t>
      </w:r>
    </w:p>
    <w:p>
      <w:pPr>
        <w:spacing w:line="360" w:lineRule="auto"/>
        <w:rPr>
          <w:rFonts w:hint="eastAsia"/>
          <w:color w:val="auto"/>
        </w:rPr>
      </w:pPr>
    </w:p>
    <w:p>
      <w:pPr>
        <w:spacing w:line="360" w:lineRule="auto"/>
        <w:rPr>
          <w:color w:val="auto"/>
        </w:rPr>
      </w:pPr>
      <w:r>
        <w:rPr>
          <w:rFonts w:hint="eastAsia"/>
          <w:color w:val="auto"/>
        </w:rPr>
        <w:t>4、管理制度健全性</w:t>
      </w:r>
    </w:p>
    <w:p>
      <w:pPr>
        <w:spacing w:line="360" w:lineRule="auto"/>
        <w:rPr>
          <w:color w:val="auto"/>
        </w:rPr>
      </w:pPr>
      <w:r>
        <w:rPr>
          <w:rFonts w:hint="eastAsia"/>
          <w:color w:val="auto"/>
        </w:rPr>
        <w:t>①已制定或具有相应的财务和业务管理制度；</w:t>
      </w:r>
    </w:p>
    <w:p>
      <w:pPr>
        <w:spacing w:line="360" w:lineRule="auto"/>
        <w:rPr>
          <w:color w:val="auto"/>
        </w:rPr>
      </w:pPr>
      <w:r>
        <w:rPr>
          <w:rFonts w:hint="eastAsia"/>
          <w:color w:val="auto"/>
        </w:rPr>
        <w:t>②财务和业务管理制度合法、合规、完整。</w:t>
      </w:r>
    </w:p>
    <w:p>
      <w:pPr>
        <w:spacing w:line="360" w:lineRule="auto"/>
        <w:ind w:firstLine="620" w:firstLineChars="200"/>
        <w:rPr>
          <w:rFonts w:hint="eastAsia"/>
          <w:color w:val="auto"/>
        </w:rPr>
      </w:pP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ascii="Times New Roman" w:hAnsi="Times New Roman" w:eastAsia="方正仿宋_GBK" w:cs="Times New Roman"/>
          <w:b w:val="0"/>
          <w:bCs w:val="0"/>
          <w:color w:val="auto"/>
          <w:spacing w:val="0"/>
          <w:kern w:val="2"/>
          <w:sz w:val="31"/>
          <w:szCs w:val="31"/>
          <w:lang w:val="en-US" w:eastAsia="zh-CN" w:bidi="ar-SA"/>
        </w:rPr>
        <w:t>4</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ascii="Times New Roman" w:hAnsi="Times New Roman" w:eastAsia="方正仿宋_GBK" w:cs="Times New Roman"/>
          <w:b w:val="0"/>
          <w:bCs w:val="0"/>
          <w:color w:val="auto"/>
          <w:spacing w:val="0"/>
          <w:kern w:val="2"/>
          <w:sz w:val="31"/>
          <w:szCs w:val="31"/>
          <w:lang w:val="en-US" w:eastAsia="zh-CN" w:bidi="ar-SA"/>
        </w:rPr>
        <w:t>4</w:t>
      </w:r>
      <w:r>
        <w:rPr>
          <w:rFonts w:hint="default" w:ascii="Times New Roman" w:hAnsi="Times New Roman" w:eastAsia="方正仿宋_GBK" w:cs="Times New Roman"/>
          <w:b w:val="0"/>
          <w:bCs w:val="0"/>
          <w:color w:val="auto"/>
          <w:spacing w:val="0"/>
          <w:kern w:val="2"/>
          <w:sz w:val="31"/>
          <w:szCs w:val="31"/>
          <w:lang w:val="en-US" w:eastAsia="zh-CN" w:bidi="ar-SA"/>
        </w:rPr>
        <w:t>分。</w:t>
      </w:r>
    </w:p>
    <w:p>
      <w:pPr>
        <w:spacing w:line="360" w:lineRule="auto"/>
        <w:rPr>
          <w:color w:val="auto"/>
        </w:rPr>
      </w:pPr>
      <w:r>
        <w:rPr>
          <w:rFonts w:hint="eastAsia"/>
          <w:color w:val="auto"/>
        </w:rPr>
        <w:t>5、制度执行有效性</w:t>
      </w:r>
    </w:p>
    <w:p>
      <w:pPr>
        <w:spacing w:line="360" w:lineRule="auto"/>
        <w:rPr>
          <w:color w:val="auto"/>
        </w:rPr>
      </w:pPr>
      <w:r>
        <w:rPr>
          <w:rFonts w:hint="eastAsia"/>
          <w:color w:val="auto"/>
        </w:rPr>
        <w:t>①遵守相关法律法规和相关管理规定；</w:t>
      </w:r>
    </w:p>
    <w:p>
      <w:pPr>
        <w:spacing w:line="360" w:lineRule="auto"/>
        <w:rPr>
          <w:color w:val="auto"/>
        </w:rPr>
      </w:pPr>
      <w:r>
        <w:rPr>
          <w:rFonts w:hint="eastAsia"/>
          <w:color w:val="auto"/>
        </w:rPr>
        <w:t>②项目调整及支出调整手续完备；</w:t>
      </w:r>
    </w:p>
    <w:p>
      <w:pPr>
        <w:spacing w:line="360" w:lineRule="auto"/>
        <w:rPr>
          <w:color w:val="auto"/>
        </w:rPr>
      </w:pPr>
      <w:r>
        <w:rPr>
          <w:rFonts w:hint="eastAsia"/>
          <w:color w:val="auto"/>
        </w:rPr>
        <w:t>③项目合同书、验收报告、技术鉴定等资料齐全并及时归档；</w:t>
      </w:r>
    </w:p>
    <w:p>
      <w:pPr>
        <w:spacing w:line="360" w:lineRule="auto"/>
        <w:rPr>
          <w:color w:val="auto"/>
        </w:rPr>
      </w:pPr>
      <w:r>
        <w:rPr>
          <w:rFonts w:hint="eastAsia"/>
          <w:color w:val="auto"/>
        </w:rPr>
        <w:t>④项目实施的人员条件、场地设备、信息支撑等落实到位。</w:t>
      </w:r>
    </w:p>
    <w:p>
      <w:pPr>
        <w:spacing w:line="360" w:lineRule="auto"/>
        <w:ind w:firstLine="620" w:firstLineChars="200"/>
        <w:rPr>
          <w:rFonts w:hint="eastAsia" w:ascii="仿宋_GB2312" w:eastAsia="仿宋_GB2312"/>
          <w:b w:val="0"/>
          <w:bCs w:val="0"/>
          <w:color w:val="auto"/>
        </w:rPr>
      </w:pPr>
      <w:bookmarkStart w:id="14" w:name="_Toc68703840"/>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ascii="Times New Roman" w:hAnsi="Times New Roman" w:eastAsia="方正仿宋_GBK" w:cs="Times New Roman"/>
          <w:b w:val="0"/>
          <w:bCs w:val="0"/>
          <w:color w:val="auto"/>
          <w:spacing w:val="0"/>
          <w:kern w:val="2"/>
          <w:sz w:val="31"/>
          <w:szCs w:val="31"/>
          <w:lang w:val="en-US" w:eastAsia="zh-CN" w:bidi="ar-SA"/>
        </w:rPr>
        <w:t>4</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ascii="Times New Roman" w:hAnsi="Times New Roman" w:eastAsia="方正仿宋_GBK" w:cs="Times New Roman"/>
          <w:b w:val="0"/>
          <w:bCs w:val="0"/>
          <w:color w:val="auto"/>
          <w:spacing w:val="0"/>
          <w:kern w:val="2"/>
          <w:sz w:val="31"/>
          <w:szCs w:val="31"/>
          <w:lang w:val="en-US" w:eastAsia="zh-CN" w:bidi="ar-SA"/>
        </w:rPr>
        <w:t>4</w:t>
      </w:r>
      <w:r>
        <w:rPr>
          <w:rFonts w:hint="default" w:ascii="Times New Roman" w:hAnsi="Times New Roman" w:eastAsia="方正仿宋_GBK" w:cs="Times New Roman"/>
          <w:b w:val="0"/>
          <w:bCs w:val="0"/>
          <w:color w:val="auto"/>
          <w:spacing w:val="0"/>
          <w:kern w:val="2"/>
          <w:sz w:val="31"/>
          <w:szCs w:val="31"/>
          <w:lang w:val="en-US" w:eastAsia="zh-CN" w:bidi="ar-SA"/>
        </w:rPr>
        <w:t>分。</w:t>
      </w:r>
    </w:p>
    <w:p>
      <w:pPr>
        <w:pStyle w:val="4"/>
        <w:spacing w:line="360" w:lineRule="auto"/>
        <w:rPr>
          <w:rFonts w:ascii="仿宋_GB2312" w:eastAsia="仿宋_GB2312"/>
          <w:b w:val="0"/>
          <w:bCs w:val="0"/>
          <w:color w:val="auto"/>
        </w:rPr>
      </w:pPr>
      <w:r>
        <w:rPr>
          <w:rFonts w:hint="eastAsia" w:ascii="仿宋_GB2312" w:eastAsia="仿宋_GB2312"/>
          <w:b w:val="0"/>
          <w:bCs w:val="0"/>
          <w:color w:val="auto"/>
        </w:rPr>
        <w:t>（三）项目产出情况。</w:t>
      </w:r>
      <w:bookmarkEnd w:id="14"/>
    </w:p>
    <w:p>
      <w:pPr>
        <w:spacing w:line="360" w:lineRule="auto"/>
        <w:ind w:firstLine="600" w:firstLineChars="200"/>
        <w:rPr>
          <w:color w:val="auto"/>
        </w:rPr>
      </w:pPr>
      <w:r>
        <w:rPr>
          <w:rFonts w:hint="eastAsia"/>
          <w:color w:val="auto"/>
        </w:rPr>
        <w:t>1、数量指标：指标1：享受免费教科书政策的学生比例，指标值：&gt;=95%，实际完成值=100%，指标完成率</w:t>
      </w:r>
      <w:r>
        <w:rPr>
          <w:rFonts w:hint="eastAsia"/>
          <w:color w:val="auto"/>
          <w:lang w:val="en-US" w:eastAsia="zh-CN"/>
        </w:rPr>
        <w:t>100</w:t>
      </w:r>
      <w:r>
        <w:rPr>
          <w:rFonts w:hint="eastAsia"/>
          <w:color w:val="auto"/>
        </w:rPr>
        <w:t>%</w:t>
      </w:r>
      <w:r>
        <w:rPr>
          <w:rFonts w:hint="eastAsia"/>
          <w:color w:val="auto"/>
          <w:lang w:eastAsia="zh-CN"/>
        </w:rPr>
        <w:t>，</w:t>
      </w:r>
      <w:r>
        <w:rPr>
          <w:rFonts w:hint="eastAsia"/>
          <w:color w:val="auto"/>
        </w:rPr>
        <w:t>偏差原因：</w:t>
      </w:r>
      <w:r>
        <w:rPr>
          <w:rFonts w:hint="eastAsia"/>
          <w:color w:val="auto"/>
          <w:lang w:eastAsia="zh-CN"/>
        </w:rPr>
        <w:t>无</w:t>
      </w:r>
      <w:r>
        <w:rPr>
          <w:rFonts w:hint="eastAsia"/>
          <w:color w:val="auto"/>
        </w:rPr>
        <w:t>；指标2：家庭经济困难学生享受生活补助政策比例，指标值：&gt;=95%，实际完成值=75.05%，指标完成率75.05%</w:t>
      </w:r>
      <w:r>
        <w:rPr>
          <w:rFonts w:hint="eastAsia"/>
          <w:color w:val="auto"/>
          <w:lang w:eastAsia="zh-CN"/>
        </w:rPr>
        <w:t>，</w:t>
      </w:r>
      <w:r>
        <w:rPr>
          <w:rFonts w:hint="eastAsia"/>
          <w:color w:val="auto"/>
        </w:rPr>
        <w:t>偏差原因：</w:t>
      </w:r>
      <w:r>
        <w:rPr>
          <w:rFonts w:hint="eastAsia"/>
          <w:color w:val="auto"/>
          <w:lang w:eastAsia="zh-CN"/>
        </w:rPr>
        <w:t>资金未</w:t>
      </w:r>
      <w:r>
        <w:rPr>
          <w:rFonts w:hint="eastAsia"/>
          <w:color w:val="auto"/>
          <w:highlight w:val="none"/>
          <w:lang w:eastAsia="zh-CN"/>
        </w:rPr>
        <w:t>支付完，</w:t>
      </w:r>
      <w:r>
        <w:rPr>
          <w:rFonts w:hint="eastAsia" w:ascii="Times New Roman" w:hAnsi="Times New Roman" w:cs="Times New Roman"/>
          <w:color w:val="auto"/>
          <w:highlight w:val="none"/>
          <w:lang w:val="en-US" w:eastAsia="zh-CN"/>
        </w:rPr>
        <w:t>2023年家庭经济困难学生补助拨付180.57万元，支付117.67万元，完成率65.16%</w:t>
      </w:r>
      <w:r>
        <w:rPr>
          <w:rFonts w:hint="eastAsia"/>
          <w:color w:val="auto"/>
        </w:rPr>
        <w:t>。</w:t>
      </w:r>
    </w:p>
    <w:p>
      <w:pPr>
        <w:spacing w:line="360" w:lineRule="auto"/>
        <w:ind w:firstLine="620" w:firstLineChars="200"/>
        <w:rPr>
          <w:color w:val="auto"/>
        </w:rPr>
      </w:pP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ascii="Times New Roman" w:hAnsi="Times New Roman" w:eastAsia="方正仿宋_GBK" w:cs="Times New Roman"/>
          <w:b w:val="0"/>
          <w:bCs w:val="0"/>
          <w:color w:val="auto"/>
          <w:spacing w:val="0"/>
          <w:kern w:val="2"/>
          <w:sz w:val="31"/>
          <w:szCs w:val="31"/>
          <w:lang w:val="en-US" w:eastAsia="zh-CN" w:bidi="ar-SA"/>
        </w:rPr>
        <w:t>20</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ascii="Times New Roman" w:hAnsi="Times New Roman" w:eastAsia="方正仿宋_GBK" w:cs="Times New Roman"/>
          <w:b w:val="0"/>
          <w:bCs w:val="0"/>
          <w:color w:val="auto"/>
          <w:spacing w:val="0"/>
          <w:kern w:val="2"/>
          <w:sz w:val="31"/>
          <w:szCs w:val="31"/>
          <w:lang w:val="en-US" w:eastAsia="zh-CN" w:bidi="ar-SA"/>
        </w:rPr>
        <w:t>14</w:t>
      </w:r>
      <w:r>
        <w:rPr>
          <w:rFonts w:hint="default" w:ascii="Times New Roman" w:hAnsi="Times New Roman" w:eastAsia="方正仿宋_GBK" w:cs="Times New Roman"/>
          <w:b w:val="0"/>
          <w:bCs w:val="0"/>
          <w:color w:val="auto"/>
          <w:spacing w:val="0"/>
          <w:kern w:val="2"/>
          <w:sz w:val="31"/>
          <w:szCs w:val="31"/>
          <w:lang w:val="en-US" w:eastAsia="zh-CN" w:bidi="ar-SA"/>
        </w:rPr>
        <w:t>分。</w:t>
      </w:r>
    </w:p>
    <w:p>
      <w:pPr>
        <w:spacing w:line="360" w:lineRule="auto"/>
        <w:ind w:firstLine="600" w:firstLineChars="200"/>
        <w:rPr>
          <w:rFonts w:hint="eastAsia"/>
          <w:color w:val="auto"/>
        </w:rPr>
      </w:pPr>
      <w:r>
        <w:rPr>
          <w:color w:val="auto"/>
        </w:rPr>
        <w:t>2</w:t>
      </w:r>
      <w:r>
        <w:rPr>
          <w:rFonts w:hint="eastAsia"/>
          <w:color w:val="auto"/>
        </w:rPr>
        <w:t>、质量指标：指标1：农村学校校舍日常维修改造质量达标率，指标值：&gt;=95%，实际完成值=100%，指标完成率=100%，偏差原因：</w:t>
      </w:r>
      <w:r>
        <w:rPr>
          <w:rFonts w:hint="eastAsia"/>
          <w:color w:val="auto"/>
          <w:lang w:eastAsia="zh-CN"/>
        </w:rPr>
        <w:t>无</w:t>
      </w:r>
      <w:r>
        <w:rPr>
          <w:rFonts w:hint="eastAsia"/>
          <w:color w:val="auto"/>
        </w:rPr>
        <w:t>；指标2：营养改善计划食品安全达标率，指标值：&gt;=95%，实际完成值100%，指标完成率100%，偏差原因：</w:t>
      </w:r>
      <w:r>
        <w:rPr>
          <w:rFonts w:hint="eastAsia"/>
          <w:color w:val="auto"/>
          <w:lang w:eastAsia="zh-CN"/>
        </w:rPr>
        <w:t>无</w:t>
      </w:r>
      <w:r>
        <w:rPr>
          <w:rFonts w:hint="eastAsia"/>
          <w:color w:val="auto"/>
        </w:rPr>
        <w:t>。</w:t>
      </w:r>
    </w:p>
    <w:p>
      <w:pPr>
        <w:spacing w:line="360" w:lineRule="auto"/>
        <w:ind w:firstLine="620" w:firstLineChars="200"/>
        <w:rPr>
          <w:rFonts w:hint="eastAsia"/>
          <w:color w:val="auto"/>
          <w:lang w:val="en-US" w:eastAsia="zh-CN"/>
        </w:rPr>
      </w:pP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ascii="Times New Roman" w:hAnsi="Times New Roman" w:eastAsia="方正仿宋_GBK" w:cs="Times New Roman"/>
          <w:b w:val="0"/>
          <w:bCs w:val="0"/>
          <w:color w:val="auto"/>
          <w:spacing w:val="0"/>
          <w:kern w:val="2"/>
          <w:sz w:val="31"/>
          <w:szCs w:val="31"/>
          <w:lang w:val="en-US" w:eastAsia="zh-CN" w:bidi="ar-SA"/>
        </w:rPr>
        <w:t>10</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ascii="Times New Roman" w:hAnsi="Times New Roman" w:eastAsia="方正仿宋_GBK" w:cs="Times New Roman"/>
          <w:b w:val="0"/>
          <w:bCs w:val="0"/>
          <w:color w:val="auto"/>
          <w:spacing w:val="0"/>
          <w:kern w:val="2"/>
          <w:sz w:val="31"/>
          <w:szCs w:val="31"/>
          <w:lang w:val="en-US" w:eastAsia="zh-CN" w:bidi="ar-SA"/>
        </w:rPr>
        <w:t>10</w:t>
      </w:r>
      <w:r>
        <w:rPr>
          <w:rFonts w:hint="default" w:ascii="Times New Roman" w:hAnsi="Times New Roman" w:eastAsia="方正仿宋_GBK" w:cs="Times New Roman"/>
          <w:b w:val="0"/>
          <w:bCs w:val="0"/>
          <w:color w:val="auto"/>
          <w:spacing w:val="0"/>
          <w:kern w:val="2"/>
          <w:sz w:val="31"/>
          <w:szCs w:val="31"/>
          <w:lang w:val="en-US" w:eastAsia="zh-CN" w:bidi="ar-SA"/>
        </w:rPr>
        <w:t>分。</w:t>
      </w:r>
    </w:p>
    <w:p>
      <w:pPr>
        <w:spacing w:line="360" w:lineRule="auto"/>
        <w:ind w:firstLine="600" w:firstLineChars="200"/>
        <w:rPr>
          <w:rFonts w:hint="eastAsia"/>
          <w:color w:val="auto"/>
        </w:rPr>
      </w:pPr>
      <w:r>
        <w:rPr>
          <w:rFonts w:hint="eastAsia"/>
          <w:color w:val="auto"/>
          <w:lang w:val="en-US" w:eastAsia="zh-CN"/>
        </w:rPr>
        <w:t>3、经济成本指标：</w:t>
      </w:r>
      <w:r>
        <w:rPr>
          <w:rFonts w:hint="eastAsia"/>
          <w:color w:val="auto"/>
        </w:rPr>
        <w:t>指标1：营养膳食生均补助标准，指标值：&gt;=</w:t>
      </w:r>
      <w:r>
        <w:rPr>
          <w:rFonts w:hint="eastAsia"/>
          <w:color w:val="auto"/>
          <w:lang w:val="en-US" w:eastAsia="zh-CN"/>
        </w:rPr>
        <w:t>5元/天</w:t>
      </w:r>
      <w:r>
        <w:rPr>
          <w:rFonts w:hint="eastAsia"/>
          <w:color w:val="auto"/>
        </w:rPr>
        <w:t>，实际完成值=100%，指标完成率=100%，偏差原因：</w:t>
      </w:r>
      <w:r>
        <w:rPr>
          <w:rFonts w:hint="eastAsia"/>
          <w:color w:val="auto"/>
          <w:lang w:eastAsia="zh-CN"/>
        </w:rPr>
        <w:t>无</w:t>
      </w:r>
      <w:r>
        <w:rPr>
          <w:rFonts w:hint="eastAsia"/>
          <w:color w:val="auto"/>
        </w:rPr>
        <w:t>；</w:t>
      </w:r>
    </w:p>
    <w:p>
      <w:pPr>
        <w:spacing w:line="360" w:lineRule="auto"/>
        <w:ind w:firstLine="620" w:firstLineChars="200"/>
        <w:rPr>
          <w:rFonts w:hint="eastAsia" w:ascii="仿宋_GB2312" w:eastAsia="仿宋_GB2312"/>
          <w:b w:val="0"/>
          <w:bCs w:val="0"/>
          <w:color w:val="auto"/>
        </w:rPr>
      </w:pPr>
      <w:bookmarkStart w:id="15" w:name="_Toc68703841"/>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ascii="Times New Roman" w:hAnsi="Times New Roman" w:eastAsia="方正仿宋_GBK" w:cs="Times New Roman"/>
          <w:b w:val="0"/>
          <w:bCs w:val="0"/>
          <w:color w:val="auto"/>
          <w:spacing w:val="0"/>
          <w:kern w:val="2"/>
          <w:sz w:val="31"/>
          <w:szCs w:val="31"/>
          <w:lang w:val="en-US" w:eastAsia="zh-CN" w:bidi="ar-SA"/>
        </w:rPr>
        <w:t>10</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ascii="Times New Roman" w:hAnsi="Times New Roman" w:eastAsia="方正仿宋_GBK" w:cs="Times New Roman"/>
          <w:b w:val="0"/>
          <w:bCs w:val="0"/>
          <w:color w:val="auto"/>
          <w:spacing w:val="0"/>
          <w:kern w:val="2"/>
          <w:sz w:val="31"/>
          <w:szCs w:val="31"/>
          <w:lang w:val="en-US" w:eastAsia="zh-CN" w:bidi="ar-SA"/>
        </w:rPr>
        <w:t>10</w:t>
      </w:r>
      <w:r>
        <w:rPr>
          <w:rFonts w:hint="default" w:ascii="Times New Roman" w:hAnsi="Times New Roman" w:eastAsia="方正仿宋_GBK" w:cs="Times New Roman"/>
          <w:b w:val="0"/>
          <w:bCs w:val="0"/>
          <w:color w:val="auto"/>
          <w:spacing w:val="0"/>
          <w:kern w:val="2"/>
          <w:sz w:val="31"/>
          <w:szCs w:val="31"/>
          <w:lang w:val="en-US" w:eastAsia="zh-CN" w:bidi="ar-SA"/>
        </w:rPr>
        <w:t>分。</w:t>
      </w:r>
    </w:p>
    <w:p>
      <w:pPr>
        <w:pStyle w:val="4"/>
        <w:spacing w:line="360" w:lineRule="auto"/>
        <w:rPr>
          <w:rFonts w:hint="eastAsia"/>
          <w:color w:val="auto"/>
          <w:lang w:val="en-US" w:eastAsia="zh-CN"/>
        </w:rPr>
      </w:pPr>
      <w:r>
        <w:rPr>
          <w:rFonts w:hint="eastAsia" w:ascii="仿宋_GB2312" w:eastAsia="仿宋_GB2312"/>
          <w:b w:val="0"/>
          <w:bCs w:val="0"/>
          <w:color w:val="auto"/>
        </w:rPr>
        <w:t>（四）项目效益情况。</w:t>
      </w:r>
      <w:bookmarkEnd w:id="15"/>
    </w:p>
    <w:p>
      <w:pPr>
        <w:spacing w:line="360" w:lineRule="auto"/>
        <w:ind w:firstLine="600" w:firstLineChars="200"/>
        <w:rPr>
          <w:rFonts w:hint="eastAsia"/>
          <w:color w:val="auto"/>
        </w:rPr>
      </w:pPr>
      <w:r>
        <w:rPr>
          <w:rFonts w:hint="eastAsia"/>
          <w:color w:val="auto"/>
          <w:lang w:val="en-US" w:eastAsia="zh-CN"/>
        </w:rPr>
        <w:t>4、社会效益指标：</w:t>
      </w:r>
      <w:r>
        <w:rPr>
          <w:rFonts w:hint="eastAsia"/>
          <w:color w:val="auto"/>
        </w:rPr>
        <w:t>指标1：减轻学生家庭经济负担，指标值：</w:t>
      </w:r>
      <w:r>
        <w:rPr>
          <w:rFonts w:hint="eastAsia"/>
          <w:color w:val="auto"/>
          <w:lang w:eastAsia="zh-CN"/>
        </w:rPr>
        <w:t>减轻</w:t>
      </w:r>
      <w:r>
        <w:rPr>
          <w:rFonts w:hint="eastAsia"/>
          <w:color w:val="auto"/>
        </w:rPr>
        <w:t>，实际完成值</w:t>
      </w:r>
      <w:r>
        <w:rPr>
          <w:rFonts w:hint="eastAsia"/>
          <w:color w:val="auto"/>
          <w:lang w:val="en-US" w:eastAsia="zh-CN"/>
        </w:rPr>
        <w:t>80.73</w:t>
      </w:r>
      <w:r>
        <w:rPr>
          <w:rFonts w:hint="eastAsia"/>
          <w:color w:val="auto"/>
        </w:rPr>
        <w:t>，指标完成率</w:t>
      </w:r>
      <w:r>
        <w:rPr>
          <w:rFonts w:hint="eastAsia"/>
          <w:color w:val="auto"/>
          <w:lang w:val="en-US" w:eastAsia="zh-CN"/>
        </w:rPr>
        <w:t>80.73</w:t>
      </w:r>
      <w:r>
        <w:rPr>
          <w:rFonts w:hint="eastAsia"/>
          <w:color w:val="auto"/>
        </w:rPr>
        <w:t>%，偏差原因：</w:t>
      </w:r>
      <w:r>
        <w:rPr>
          <w:rFonts w:hint="eastAsia"/>
          <w:color w:val="auto"/>
          <w:lang w:val="en-US" w:eastAsia="zh-CN"/>
        </w:rPr>
        <w:t>2023年资金未支付完毕</w:t>
      </w:r>
      <w:r>
        <w:rPr>
          <w:rFonts w:hint="eastAsia"/>
          <w:color w:val="auto"/>
        </w:rPr>
        <w:t>；</w:t>
      </w:r>
    </w:p>
    <w:p>
      <w:pPr>
        <w:spacing w:line="360" w:lineRule="auto"/>
        <w:ind w:firstLine="620" w:firstLineChars="200"/>
        <w:rPr>
          <w:rFonts w:hint="eastAsia"/>
          <w:color w:val="auto"/>
          <w:lang w:val="en-US" w:eastAsia="zh-CN"/>
        </w:rPr>
      </w:pP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ascii="Times New Roman" w:hAnsi="Times New Roman" w:eastAsia="方正仿宋_GBK" w:cs="Times New Roman"/>
          <w:b w:val="0"/>
          <w:bCs w:val="0"/>
          <w:color w:val="auto"/>
          <w:spacing w:val="0"/>
          <w:kern w:val="2"/>
          <w:sz w:val="31"/>
          <w:szCs w:val="31"/>
          <w:lang w:val="en-US" w:eastAsia="zh-CN" w:bidi="ar-SA"/>
        </w:rPr>
        <w:t>10</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ascii="Times New Roman" w:hAnsi="Times New Roman" w:eastAsia="方正仿宋_GBK" w:cs="Times New Roman"/>
          <w:b w:val="0"/>
          <w:bCs w:val="0"/>
          <w:color w:val="auto"/>
          <w:spacing w:val="0"/>
          <w:kern w:val="2"/>
          <w:sz w:val="31"/>
          <w:szCs w:val="31"/>
          <w:lang w:val="en-US" w:eastAsia="zh-CN" w:bidi="ar-SA"/>
        </w:rPr>
        <w:t>8.07</w:t>
      </w:r>
      <w:r>
        <w:rPr>
          <w:rFonts w:hint="default" w:ascii="Times New Roman" w:hAnsi="Times New Roman" w:eastAsia="方正仿宋_GBK" w:cs="Times New Roman"/>
          <w:b w:val="0"/>
          <w:bCs w:val="0"/>
          <w:color w:val="auto"/>
          <w:spacing w:val="0"/>
          <w:kern w:val="2"/>
          <w:sz w:val="31"/>
          <w:szCs w:val="31"/>
          <w:lang w:val="en-US" w:eastAsia="zh-CN" w:bidi="ar-SA"/>
        </w:rPr>
        <w:t>分。</w:t>
      </w:r>
    </w:p>
    <w:p>
      <w:pPr>
        <w:numPr>
          <w:ilvl w:val="0"/>
          <w:numId w:val="2"/>
        </w:numPr>
        <w:spacing w:line="360" w:lineRule="auto"/>
        <w:ind w:firstLine="600" w:firstLineChars="200"/>
        <w:rPr>
          <w:rFonts w:hint="eastAsia"/>
          <w:lang w:val="en-US" w:eastAsia="zh-CN"/>
        </w:rPr>
      </w:pPr>
      <w:r>
        <w:rPr>
          <w:rFonts w:hint="eastAsia"/>
          <w:color w:val="auto"/>
          <w:lang w:val="en-US" w:eastAsia="zh-CN"/>
        </w:rPr>
        <w:t>满意度指标：</w:t>
      </w:r>
      <w:r>
        <w:rPr>
          <w:rFonts w:hint="eastAsia"/>
          <w:color w:val="auto"/>
        </w:rPr>
        <w:t>指标1：</w:t>
      </w:r>
      <w:r>
        <w:rPr>
          <w:rFonts w:hint="eastAsia"/>
          <w:color w:val="auto"/>
          <w:lang w:eastAsia="zh-CN"/>
        </w:rPr>
        <w:t>学生和老师满意度</w:t>
      </w:r>
      <w:r>
        <w:rPr>
          <w:rFonts w:hint="eastAsia"/>
          <w:color w:val="auto"/>
        </w:rPr>
        <w:t>，指标值：&gt;=95%，实际完成值</w:t>
      </w:r>
      <w:r>
        <w:rPr>
          <w:rFonts w:hint="eastAsia"/>
          <w:color w:val="auto"/>
          <w:lang w:val="en-US" w:eastAsia="zh-CN"/>
        </w:rPr>
        <w:t>98%</w:t>
      </w:r>
      <w:r>
        <w:rPr>
          <w:rFonts w:hint="eastAsia"/>
          <w:color w:val="auto"/>
        </w:rPr>
        <w:t>，指标完成率</w:t>
      </w:r>
      <w:r>
        <w:rPr>
          <w:rFonts w:hint="eastAsia"/>
          <w:color w:val="auto"/>
          <w:lang w:val="en-US" w:eastAsia="zh-CN"/>
        </w:rPr>
        <w:t>103</w:t>
      </w:r>
      <w:r>
        <w:rPr>
          <w:rFonts w:hint="eastAsia"/>
          <w:color w:val="auto"/>
        </w:rPr>
        <w:t>%，偏差原因：</w:t>
      </w:r>
      <w:r>
        <w:rPr>
          <w:rFonts w:hint="eastAsia"/>
          <w:color w:val="auto"/>
          <w:lang w:val="en-US" w:eastAsia="zh-CN"/>
        </w:rPr>
        <w:t>学生家长较满意</w:t>
      </w:r>
      <w:r>
        <w:rPr>
          <w:rFonts w:hint="eastAsia"/>
          <w:color w:val="auto"/>
        </w:rPr>
        <w:t>；</w:t>
      </w:r>
    </w:p>
    <w:p>
      <w:pPr>
        <w:spacing w:line="360" w:lineRule="auto"/>
        <w:ind w:firstLine="620" w:firstLineChars="200"/>
        <w:rPr>
          <w:rFonts w:hint="eastAsia"/>
          <w:color w:val="auto"/>
        </w:rPr>
      </w:pP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ascii="Times New Roman" w:hAnsi="Times New Roman" w:eastAsia="方正仿宋_GBK" w:cs="Times New Roman"/>
          <w:b w:val="0"/>
          <w:bCs w:val="0"/>
          <w:color w:val="auto"/>
          <w:spacing w:val="0"/>
          <w:kern w:val="2"/>
          <w:sz w:val="31"/>
          <w:szCs w:val="31"/>
          <w:lang w:val="en-US" w:eastAsia="zh-CN" w:bidi="ar-SA"/>
        </w:rPr>
        <w:t>10</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ascii="Times New Roman" w:hAnsi="Times New Roman" w:eastAsia="方正仿宋_GBK" w:cs="Times New Roman"/>
          <w:b w:val="0"/>
          <w:bCs w:val="0"/>
          <w:color w:val="auto"/>
          <w:spacing w:val="0"/>
          <w:kern w:val="2"/>
          <w:sz w:val="31"/>
          <w:szCs w:val="31"/>
          <w:lang w:val="en-US" w:eastAsia="zh-CN" w:bidi="ar-SA"/>
        </w:rPr>
        <w:t>10</w:t>
      </w:r>
      <w:r>
        <w:rPr>
          <w:rFonts w:hint="default" w:ascii="Times New Roman" w:hAnsi="Times New Roman" w:eastAsia="方正仿宋_GBK" w:cs="Times New Roman"/>
          <w:b w:val="0"/>
          <w:bCs w:val="0"/>
          <w:color w:val="auto"/>
          <w:spacing w:val="0"/>
          <w:kern w:val="2"/>
          <w:sz w:val="31"/>
          <w:szCs w:val="31"/>
          <w:lang w:val="en-US" w:eastAsia="zh-CN" w:bidi="ar-SA"/>
        </w:rPr>
        <w:t>分。</w:t>
      </w:r>
    </w:p>
    <w:p>
      <w:pPr>
        <w:bidi w:val="0"/>
        <w:ind w:firstLine="416" w:firstLineChars="0"/>
        <w:jc w:val="left"/>
        <w:rPr>
          <w:rFonts w:hint="eastAsia"/>
          <w:lang w:val="en-US" w:eastAsia="zh-CN"/>
        </w:rPr>
      </w:pPr>
    </w:p>
    <w:p>
      <w:pPr>
        <w:pStyle w:val="3"/>
        <w:pageBreakBefore w:val="0"/>
        <w:kinsoku/>
        <w:wordWrap/>
        <w:overflowPunct/>
        <w:topLinePunct w:val="0"/>
        <w:autoSpaceDE/>
        <w:autoSpaceDN/>
        <w:bidi w:val="0"/>
        <w:adjustRightInd/>
        <w:snapToGrid/>
        <w:spacing w:before="0" w:after="0" w:line="560" w:lineRule="exact"/>
        <w:textAlignment w:val="auto"/>
        <w:rPr>
          <w:rFonts w:hint="eastAsia" w:ascii="Times New Roman" w:hAnsi="Times New Roman" w:eastAsia="方正仿宋_GBK" w:cs="Times New Roman"/>
          <w:color w:val="auto"/>
          <w:spacing w:val="0"/>
          <w:sz w:val="31"/>
          <w:szCs w:val="31"/>
          <w:lang w:val="en-US" w:eastAsia="zh-CN"/>
        </w:rPr>
      </w:pPr>
      <w:r>
        <w:rPr>
          <w:rFonts w:hint="default" w:ascii="Times New Roman" w:hAnsi="Times New Roman" w:eastAsia="方正仿宋_GBK" w:cs="Times New Roman"/>
          <w:color w:val="auto"/>
          <w:spacing w:val="0"/>
          <w:sz w:val="31"/>
          <w:szCs w:val="31"/>
          <w:lang w:val="en-US" w:eastAsia="zh-Hans"/>
        </w:rPr>
        <w:t>五、预算执行进度与绩效指标总体完成率偏差</w:t>
      </w:r>
    </w:p>
    <w:p>
      <w:pPr>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color w:val="auto"/>
          <w:spacing w:val="0"/>
          <w:sz w:val="31"/>
          <w:szCs w:val="31"/>
          <w:lang w:val="en-US" w:eastAsia="zh-CN"/>
        </w:rPr>
      </w:pPr>
      <w:bookmarkStart w:id="16" w:name="_Toc68703843"/>
      <w:r>
        <w:rPr>
          <w:rFonts w:hint="default" w:ascii="Times New Roman" w:hAnsi="Times New Roman" w:eastAsia="方正仿宋_GBK" w:cs="Times New Roman"/>
          <w:color w:val="auto"/>
          <w:spacing w:val="0"/>
          <w:sz w:val="31"/>
          <w:szCs w:val="31"/>
          <w:highlight w:val="none"/>
          <w:lang w:eastAsia="zh-CN"/>
        </w:rPr>
        <w:t>2023年城乡义务教育补助经费项目年初预算</w:t>
      </w:r>
      <w:r>
        <w:rPr>
          <w:rFonts w:hint="default" w:ascii="Times New Roman" w:hAnsi="Times New Roman" w:eastAsia="方正仿宋_GBK" w:cs="Times New Roman"/>
          <w:color w:val="auto"/>
          <w:spacing w:val="0"/>
          <w:sz w:val="31"/>
          <w:szCs w:val="31"/>
          <w:highlight w:val="none"/>
          <w:lang w:val="en-US" w:eastAsia="zh-CN"/>
        </w:rPr>
        <w:t>964.14</w:t>
      </w:r>
      <w:r>
        <w:rPr>
          <w:rFonts w:hint="default" w:ascii="Times New Roman" w:hAnsi="Times New Roman" w:eastAsia="方正仿宋_GBK" w:cs="Times New Roman"/>
          <w:color w:val="auto"/>
          <w:spacing w:val="0"/>
          <w:sz w:val="31"/>
          <w:szCs w:val="31"/>
          <w:highlight w:val="none"/>
          <w:lang w:eastAsia="zh-CN"/>
        </w:rPr>
        <w:t>万元，全年预算</w:t>
      </w:r>
      <w:r>
        <w:rPr>
          <w:rFonts w:hint="default" w:ascii="Times New Roman" w:hAnsi="Times New Roman" w:eastAsia="方正仿宋_GBK" w:cs="Times New Roman"/>
          <w:color w:val="auto"/>
          <w:spacing w:val="0"/>
          <w:sz w:val="31"/>
          <w:szCs w:val="31"/>
          <w:highlight w:val="none"/>
          <w:lang w:val="en-US" w:eastAsia="zh-CN"/>
        </w:rPr>
        <w:t>964.14</w:t>
      </w:r>
      <w:r>
        <w:rPr>
          <w:rFonts w:hint="default" w:ascii="Times New Roman" w:hAnsi="Times New Roman" w:eastAsia="方正仿宋_GBK" w:cs="Times New Roman"/>
          <w:color w:val="auto"/>
          <w:spacing w:val="0"/>
          <w:sz w:val="31"/>
          <w:szCs w:val="31"/>
          <w:highlight w:val="none"/>
          <w:lang w:eastAsia="zh-CN"/>
        </w:rPr>
        <w:t>万元，实际支出</w:t>
      </w:r>
      <w:r>
        <w:rPr>
          <w:rFonts w:hint="default" w:ascii="Times New Roman" w:hAnsi="Times New Roman" w:eastAsia="方正仿宋_GBK" w:cs="Times New Roman"/>
          <w:color w:val="auto"/>
          <w:spacing w:val="0"/>
          <w:sz w:val="31"/>
          <w:szCs w:val="31"/>
          <w:highlight w:val="none"/>
          <w:lang w:val="en-US" w:eastAsia="zh-CN"/>
        </w:rPr>
        <w:t>778.34</w:t>
      </w:r>
      <w:r>
        <w:rPr>
          <w:rFonts w:hint="default" w:ascii="Times New Roman" w:hAnsi="Times New Roman" w:eastAsia="方正仿宋_GBK" w:cs="Times New Roman"/>
          <w:color w:val="auto"/>
          <w:spacing w:val="0"/>
          <w:sz w:val="31"/>
          <w:szCs w:val="31"/>
          <w:highlight w:val="none"/>
          <w:lang w:eastAsia="zh-CN"/>
        </w:rPr>
        <w:t>万元，预算执行率为</w:t>
      </w:r>
      <w:r>
        <w:rPr>
          <w:rFonts w:hint="eastAsia"/>
          <w:color w:val="auto"/>
          <w:lang w:val="en-US" w:eastAsia="zh-CN"/>
        </w:rPr>
        <w:t>80.73</w:t>
      </w:r>
      <w:r>
        <w:rPr>
          <w:rFonts w:hint="eastAsia"/>
          <w:color w:val="auto"/>
        </w:rPr>
        <w:t>%</w:t>
      </w:r>
      <w:r>
        <w:rPr>
          <w:rFonts w:hint="default" w:ascii="Times New Roman" w:hAnsi="Times New Roman" w:eastAsia="方正仿宋_GBK" w:cs="Times New Roman"/>
          <w:color w:val="auto"/>
          <w:spacing w:val="0"/>
          <w:sz w:val="31"/>
          <w:szCs w:val="31"/>
          <w:highlight w:val="none"/>
          <w:lang w:eastAsia="zh-CN"/>
        </w:rPr>
        <w:t>，项目绩效指标总体完成率为</w:t>
      </w:r>
      <w:r>
        <w:rPr>
          <w:rFonts w:hint="eastAsia" w:ascii="Times New Roman" w:hAnsi="Times New Roman" w:eastAsia="方正仿宋_GBK" w:cs="Times New Roman"/>
          <w:color w:val="auto"/>
          <w:spacing w:val="0"/>
          <w:sz w:val="31"/>
          <w:szCs w:val="31"/>
          <w:highlight w:val="none"/>
          <w:lang w:val="en-US" w:eastAsia="zh-CN"/>
        </w:rPr>
        <w:t>9</w:t>
      </w:r>
      <w:r>
        <w:rPr>
          <w:rFonts w:hint="eastAsia" w:eastAsia="方正仿宋_GBK" w:cs="Times New Roman"/>
          <w:color w:val="auto"/>
          <w:spacing w:val="0"/>
          <w:sz w:val="31"/>
          <w:szCs w:val="31"/>
          <w:highlight w:val="none"/>
          <w:lang w:val="en-US" w:eastAsia="zh-CN"/>
        </w:rPr>
        <w:t>4</w:t>
      </w:r>
      <w:r>
        <w:rPr>
          <w:rFonts w:hint="default" w:ascii="Times New Roman" w:hAnsi="Times New Roman" w:eastAsia="方正仿宋_GBK" w:cs="Times New Roman"/>
          <w:color w:val="auto"/>
          <w:spacing w:val="0"/>
          <w:sz w:val="31"/>
          <w:szCs w:val="31"/>
          <w:highlight w:val="none"/>
          <w:lang w:eastAsia="zh-CN"/>
        </w:rPr>
        <w:t>%，</w:t>
      </w:r>
      <w:r>
        <w:rPr>
          <w:rFonts w:hint="default" w:ascii="Times New Roman" w:hAnsi="Times New Roman" w:eastAsia="方正仿宋_GBK" w:cs="Times New Roman"/>
          <w:color w:val="auto"/>
          <w:spacing w:val="0"/>
          <w:sz w:val="31"/>
          <w:szCs w:val="31"/>
          <w:highlight w:val="none"/>
          <w:lang w:eastAsia="zh-Hans"/>
        </w:rPr>
        <w:t>总体</w:t>
      </w:r>
      <w:r>
        <w:rPr>
          <w:rFonts w:hint="default" w:ascii="Times New Roman" w:hAnsi="Times New Roman" w:eastAsia="方正仿宋_GBK" w:cs="Times New Roman"/>
          <w:color w:val="auto"/>
          <w:spacing w:val="0"/>
          <w:sz w:val="31"/>
          <w:szCs w:val="31"/>
          <w:highlight w:val="none"/>
          <w:lang w:eastAsia="zh-CN"/>
        </w:rPr>
        <w:t>偏差率为</w:t>
      </w:r>
      <w:r>
        <w:rPr>
          <w:rFonts w:hint="eastAsia" w:eastAsia="方正仿宋_GBK" w:cs="Times New Roman"/>
          <w:color w:val="auto"/>
          <w:spacing w:val="0"/>
          <w:sz w:val="31"/>
          <w:szCs w:val="31"/>
          <w:highlight w:val="none"/>
          <w:lang w:val="en-US" w:eastAsia="zh-CN"/>
        </w:rPr>
        <w:t>6</w:t>
      </w:r>
      <w:bookmarkStart w:id="20" w:name="_GoBack"/>
      <w:bookmarkEnd w:id="20"/>
      <w:r>
        <w:rPr>
          <w:rFonts w:hint="default" w:ascii="Times New Roman" w:hAnsi="Times New Roman" w:eastAsia="方正仿宋_GBK" w:cs="Times New Roman"/>
          <w:color w:val="auto"/>
          <w:spacing w:val="0"/>
          <w:sz w:val="31"/>
          <w:szCs w:val="31"/>
          <w:highlight w:val="none"/>
          <w:lang w:eastAsia="zh-CN"/>
        </w:rPr>
        <w:t>%,</w:t>
      </w:r>
      <w:r>
        <w:rPr>
          <w:rFonts w:hint="default" w:ascii="Times New Roman" w:hAnsi="Times New Roman" w:eastAsia="方正仿宋_GBK" w:cs="Times New Roman"/>
          <w:color w:val="auto"/>
          <w:spacing w:val="0"/>
          <w:sz w:val="31"/>
          <w:szCs w:val="31"/>
          <w:highlight w:val="none"/>
          <w:lang w:eastAsia="zh-Hans"/>
        </w:rPr>
        <w:t>偏差</w:t>
      </w:r>
      <w:r>
        <w:rPr>
          <w:rFonts w:hint="default" w:ascii="Times New Roman" w:hAnsi="Times New Roman" w:eastAsia="方正仿宋_GBK" w:cs="Times New Roman"/>
          <w:color w:val="auto"/>
          <w:spacing w:val="0"/>
          <w:sz w:val="31"/>
          <w:szCs w:val="31"/>
          <w:highlight w:val="none"/>
          <w:lang w:eastAsia="zh-CN"/>
        </w:rPr>
        <w:t>原因</w:t>
      </w:r>
      <w:r>
        <w:rPr>
          <w:rFonts w:hint="eastAsia" w:ascii="Times New Roman" w:hAnsi="Times New Roman" w:eastAsia="方正仿宋_GBK" w:cs="Times New Roman"/>
          <w:color w:val="auto"/>
          <w:spacing w:val="0"/>
          <w:sz w:val="31"/>
          <w:szCs w:val="31"/>
          <w:highlight w:val="none"/>
          <w:lang w:val="en-US" w:eastAsia="zh-CN"/>
        </w:rPr>
        <w:t>资金未按计划全部进行支付</w:t>
      </w:r>
      <w:r>
        <w:rPr>
          <w:rFonts w:hint="default" w:ascii="Times New Roman" w:hAnsi="Times New Roman" w:eastAsia="方正仿宋_GBK" w:cs="Times New Roman"/>
          <w:color w:val="auto"/>
          <w:spacing w:val="0"/>
          <w:sz w:val="31"/>
          <w:szCs w:val="31"/>
          <w:highlight w:val="none"/>
          <w:lang w:eastAsia="zh-CN"/>
        </w:rPr>
        <w:t>，</w:t>
      </w:r>
      <w:r>
        <w:rPr>
          <w:rFonts w:hint="default" w:ascii="Times New Roman" w:hAnsi="Times New Roman" w:eastAsia="方正仿宋_GBK" w:cs="Times New Roman"/>
          <w:color w:val="auto"/>
          <w:spacing w:val="0"/>
          <w:sz w:val="31"/>
          <w:szCs w:val="31"/>
          <w:highlight w:val="none"/>
          <w:lang w:eastAsia="zh-Hans"/>
        </w:rPr>
        <w:t>改进</w:t>
      </w:r>
      <w:r>
        <w:rPr>
          <w:rFonts w:hint="default" w:ascii="Times New Roman" w:hAnsi="Times New Roman" w:eastAsia="方正仿宋_GBK" w:cs="Times New Roman"/>
          <w:color w:val="auto"/>
          <w:spacing w:val="0"/>
          <w:sz w:val="31"/>
          <w:szCs w:val="31"/>
          <w:highlight w:val="none"/>
          <w:lang w:eastAsia="zh-CN"/>
        </w:rPr>
        <w:t>措施</w:t>
      </w:r>
      <w:r>
        <w:rPr>
          <w:rFonts w:hint="eastAsia" w:ascii="Times New Roman" w:hAnsi="Times New Roman" w:eastAsia="方正仿宋_GBK" w:cs="Times New Roman"/>
          <w:color w:val="auto"/>
          <w:spacing w:val="0"/>
          <w:sz w:val="31"/>
          <w:szCs w:val="31"/>
          <w:highlight w:val="none"/>
          <w:lang w:val="en-US" w:eastAsia="zh-CN"/>
        </w:rPr>
        <w:t>按计划继续进行支付</w:t>
      </w:r>
      <w:r>
        <w:rPr>
          <w:rFonts w:hint="default" w:ascii="Times New Roman" w:hAnsi="Times New Roman" w:eastAsia="方正仿宋_GBK" w:cs="Times New Roman"/>
          <w:color w:val="auto"/>
          <w:spacing w:val="0"/>
          <w:sz w:val="31"/>
          <w:szCs w:val="31"/>
          <w:highlight w:val="none"/>
          <w:lang w:eastAsia="zh-CN"/>
        </w:rPr>
        <w:t>。</w:t>
      </w:r>
    </w:p>
    <w:p>
      <w:pPr>
        <w:pStyle w:val="3"/>
        <w:pageBreakBefore w:val="0"/>
        <w:kinsoku/>
        <w:wordWrap/>
        <w:overflowPunct/>
        <w:topLinePunct w:val="0"/>
        <w:autoSpaceDE/>
        <w:autoSpaceDN/>
        <w:bidi w:val="0"/>
        <w:adjustRightInd/>
        <w:snapToGrid/>
        <w:spacing w:before="0" w:after="0" w:line="560" w:lineRule="exact"/>
        <w:textAlignment w:val="auto"/>
        <w:rPr>
          <w:rFonts w:hint="default" w:ascii="Times New Roman" w:hAnsi="Times New Roman" w:eastAsia="方正仿宋_GBK" w:cs="Times New Roman"/>
          <w:color w:val="auto"/>
          <w:spacing w:val="0"/>
          <w:sz w:val="31"/>
          <w:szCs w:val="31"/>
        </w:rPr>
      </w:pPr>
      <w:r>
        <w:rPr>
          <w:rFonts w:hint="default" w:ascii="Times New Roman" w:hAnsi="Times New Roman" w:eastAsia="方正仿宋_GBK" w:cs="Times New Roman"/>
          <w:color w:val="auto"/>
          <w:spacing w:val="0"/>
          <w:sz w:val="31"/>
          <w:szCs w:val="31"/>
          <w:lang w:val="en-US" w:eastAsia="zh-CN"/>
        </w:rPr>
        <w:t>六</w:t>
      </w:r>
      <w:r>
        <w:rPr>
          <w:rFonts w:hint="default" w:ascii="Times New Roman" w:hAnsi="Times New Roman" w:eastAsia="方正仿宋_GBK" w:cs="Times New Roman"/>
          <w:color w:val="auto"/>
          <w:spacing w:val="0"/>
          <w:sz w:val="31"/>
          <w:szCs w:val="31"/>
        </w:rPr>
        <w:t>、主要经验及做法、存在的问题及原因分析</w:t>
      </w:r>
    </w:p>
    <w:p>
      <w:pPr>
        <w:pStyle w:val="4"/>
        <w:spacing w:line="360" w:lineRule="auto"/>
        <w:rPr>
          <w:rFonts w:ascii="仿宋_GB2312" w:eastAsia="仿宋_GB2312"/>
          <w:b w:val="0"/>
          <w:bCs w:val="0"/>
          <w:color w:val="auto"/>
        </w:rPr>
      </w:pPr>
      <w:r>
        <w:rPr>
          <w:rFonts w:hint="eastAsia" w:ascii="仿宋_GB2312" w:eastAsia="仿宋_GB2312"/>
          <w:b w:val="0"/>
          <w:bCs w:val="0"/>
          <w:color w:val="auto"/>
        </w:rPr>
        <w:t>（一）主要经验及做法</w:t>
      </w:r>
      <w:bookmarkEnd w:id="16"/>
    </w:p>
    <w:p>
      <w:pPr>
        <w:rPr>
          <w:rFonts w:hint="eastAsia" w:eastAsia="仿宋_GB2312"/>
          <w:color w:val="auto"/>
          <w:lang w:eastAsia="zh-CN"/>
        </w:rPr>
      </w:pPr>
      <w:r>
        <w:rPr>
          <w:rFonts w:hint="eastAsia"/>
          <w:color w:val="auto"/>
          <w:lang w:val="en-US" w:eastAsia="zh-CN"/>
        </w:rPr>
        <w:t>1、明确项目绩效的目标，能够有针对性地评估项目的完成情况，确保自评的准确性和有效性。制定合理的项目计划及预算、建立有效的沟通机制、实施绩效监控和评估，总结及分享经验教训。</w:t>
      </w:r>
    </w:p>
    <w:p>
      <w:pPr>
        <w:pStyle w:val="4"/>
        <w:spacing w:line="360" w:lineRule="auto"/>
        <w:rPr>
          <w:rFonts w:ascii="仿宋_GB2312" w:eastAsia="仿宋_GB2312"/>
          <w:b w:val="0"/>
          <w:bCs w:val="0"/>
          <w:color w:val="auto"/>
        </w:rPr>
      </w:pPr>
      <w:bookmarkStart w:id="17" w:name="_Toc68703844"/>
      <w:r>
        <w:rPr>
          <w:rFonts w:hint="eastAsia" w:ascii="仿宋_GB2312" w:eastAsia="仿宋_GB2312"/>
          <w:b w:val="0"/>
          <w:bCs w:val="0"/>
          <w:color w:val="auto"/>
        </w:rPr>
        <w:t>（二）存在的问题及原因分析</w:t>
      </w:r>
      <w:bookmarkEnd w:id="17"/>
    </w:p>
    <w:p>
      <w:pPr>
        <w:pStyle w:val="15"/>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K" w:eastAsia="方正仿宋_GBK" w:cs="方正仿宋_GBK"/>
          <w:color w:val="auto"/>
          <w:sz w:val="32"/>
          <w:szCs w:val="32"/>
        </w:rPr>
      </w:pPr>
      <w:bookmarkStart w:id="18" w:name="_Toc68703845"/>
      <w:r>
        <w:rPr>
          <w:rFonts w:hint="eastAsia" w:ascii="方正仿宋_GBK" w:eastAsia="方正仿宋_GBK" w:cs="方正仿宋_GBK"/>
          <w:color w:val="auto"/>
          <w:sz w:val="32"/>
          <w:szCs w:val="32"/>
          <w:lang w:val="en-US" w:eastAsia="zh-CN"/>
        </w:rPr>
        <w:t>1、</w:t>
      </w:r>
      <w:r>
        <w:rPr>
          <w:rFonts w:hint="eastAsia" w:ascii="方正仿宋_GBK" w:eastAsia="方正仿宋_GBK" w:cs="方正仿宋_GBK"/>
          <w:color w:val="auto"/>
          <w:sz w:val="32"/>
          <w:szCs w:val="32"/>
        </w:rPr>
        <w:t>项目细化管理工作不足</w:t>
      </w:r>
    </w:p>
    <w:p>
      <w:pPr>
        <w:pStyle w:val="15"/>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lang w:eastAsia="zh-CN"/>
        </w:rPr>
        <w:t>经</w:t>
      </w:r>
      <w:r>
        <w:rPr>
          <w:rFonts w:hint="eastAsia" w:ascii="方正仿宋_GBK" w:eastAsia="方正仿宋_GBK" w:cs="方正仿宋_GBK"/>
          <w:color w:val="auto"/>
          <w:sz w:val="32"/>
          <w:szCs w:val="32"/>
        </w:rPr>
        <w:t>费的使用范围并不能把握到位，造成项目遇到各种不确定因素，财政资金无法发挥最大使用效益。</w:t>
      </w:r>
    </w:p>
    <w:p>
      <w:pPr>
        <w:spacing w:line="540" w:lineRule="exact"/>
        <w:ind w:firstLine="579" w:firstLineChars="181"/>
        <w:rPr>
          <w:rStyle w:val="10"/>
          <w:rFonts w:ascii="仿宋_GB2312" w:hAnsi="楷体" w:eastAsia="仿宋_GB2312" w:cs="Times New Roman"/>
          <w:b w:val="0"/>
          <w:spacing w:val="-4"/>
          <w:sz w:val="32"/>
          <w:szCs w:val="32"/>
        </w:rPr>
      </w:pPr>
      <w:r>
        <w:rPr>
          <w:rFonts w:hint="eastAsia" w:ascii="方正仿宋_GBK" w:eastAsia="方正仿宋_GBK" w:cs="方正仿宋_GBK"/>
          <w:color w:val="auto"/>
          <w:sz w:val="32"/>
          <w:szCs w:val="32"/>
          <w:lang w:val="en-US" w:eastAsia="zh-CN"/>
        </w:rPr>
        <w:t>2、</w:t>
      </w:r>
      <w:r>
        <w:rPr>
          <w:rFonts w:hint="eastAsia" w:ascii="方正仿宋_GBK" w:eastAsia="方正仿宋_GBK" w:cs="方正仿宋_GBK"/>
          <w:color w:val="auto"/>
          <w:sz w:val="32"/>
          <w:szCs w:val="32"/>
        </w:rPr>
        <w:t>预算绩效管理水平仍有欠缺。在</w:t>
      </w:r>
      <w:r>
        <w:rPr>
          <w:rFonts w:hint="eastAsia" w:ascii="方正仿宋_GBK" w:eastAsia="方正仿宋_GBK" w:cs="方正仿宋_GBK"/>
          <w:color w:val="auto"/>
          <w:sz w:val="32"/>
          <w:szCs w:val="32"/>
          <w:lang w:eastAsia="zh-CN"/>
        </w:rPr>
        <w:t>202</w:t>
      </w:r>
      <w:r>
        <w:rPr>
          <w:rFonts w:hint="eastAsia" w:ascii="方正仿宋_GBK" w:eastAsia="方正仿宋_GBK" w:cs="方正仿宋_GBK"/>
          <w:color w:val="auto"/>
          <w:sz w:val="32"/>
          <w:szCs w:val="32"/>
          <w:lang w:val="en-US" w:eastAsia="zh-CN"/>
        </w:rPr>
        <w:t>3</w:t>
      </w:r>
      <w:r>
        <w:rPr>
          <w:rFonts w:hint="eastAsia" w:ascii="方正仿宋_GBK" w:eastAsia="方正仿宋_GBK" w:cs="方正仿宋_GBK"/>
          <w:color w:val="auto"/>
          <w:sz w:val="32"/>
          <w:szCs w:val="32"/>
        </w:rPr>
        <w:t>年预算绩效管理工作中，存在“重投入轻管理、重支出轻绩效”的情况，对全面实施预算绩效管理的要求认识还不到位，项目申报、实施等环节与预算绩效管理各个环节联系不够紧密；同时预算绩效管理也是一项新工作，面对专业人手不足、绩效管理水平欠缺的情况下，坚持“滚石上山”，提升的空间还是很大。</w:t>
      </w:r>
    </w:p>
    <w:p>
      <w:pPr>
        <w:pStyle w:val="3"/>
        <w:numPr>
          <w:ilvl w:val="0"/>
          <w:numId w:val="0"/>
        </w:numPr>
        <w:spacing w:line="360" w:lineRule="auto"/>
        <w:rPr>
          <w:rFonts w:hint="eastAsia" w:ascii="宋体" w:hAnsi="宋体" w:eastAsia="宋体"/>
          <w:color w:val="auto"/>
          <w:sz w:val="32"/>
          <w:szCs w:val="32"/>
        </w:rPr>
      </w:pPr>
      <w:r>
        <w:rPr>
          <w:rFonts w:hint="eastAsia" w:ascii="宋体" w:hAnsi="宋体" w:eastAsia="宋体"/>
          <w:color w:val="auto"/>
          <w:sz w:val="32"/>
          <w:szCs w:val="32"/>
          <w:lang w:val="en-US" w:eastAsia="zh-CN"/>
        </w:rPr>
        <w:t>七、</w:t>
      </w:r>
      <w:r>
        <w:rPr>
          <w:rFonts w:hint="eastAsia" w:ascii="宋体" w:hAnsi="宋体" w:eastAsia="宋体"/>
          <w:color w:val="auto"/>
          <w:sz w:val="32"/>
          <w:szCs w:val="32"/>
        </w:rPr>
        <w:t>有关建议</w:t>
      </w:r>
      <w:bookmarkEnd w:id="18"/>
    </w:p>
    <w:p>
      <w:pPr>
        <w:numPr>
          <w:ilvl w:val="0"/>
          <w:numId w:val="0"/>
        </w:numPr>
      </w:pPr>
      <w:r>
        <w:rPr>
          <w:rFonts w:hint="eastAsia"/>
          <w:lang w:eastAsia="zh-CN"/>
        </w:rPr>
        <w:t>无</w:t>
      </w:r>
    </w:p>
    <w:p>
      <w:pPr>
        <w:pStyle w:val="3"/>
        <w:spacing w:line="360" w:lineRule="auto"/>
        <w:rPr>
          <w:rFonts w:ascii="宋体" w:hAnsi="宋体" w:eastAsia="宋体"/>
          <w:color w:val="auto"/>
          <w:sz w:val="32"/>
          <w:szCs w:val="32"/>
        </w:rPr>
      </w:pPr>
      <w:bookmarkStart w:id="19" w:name="_Toc68703846"/>
      <w:r>
        <w:rPr>
          <w:rFonts w:hint="eastAsia" w:ascii="宋体" w:hAnsi="宋体" w:eastAsia="宋体"/>
          <w:color w:val="auto"/>
          <w:sz w:val="32"/>
          <w:szCs w:val="32"/>
          <w:lang w:val="en-US" w:eastAsia="zh-CN"/>
        </w:rPr>
        <w:t>八、</w:t>
      </w:r>
      <w:r>
        <w:rPr>
          <w:rFonts w:hint="eastAsia" w:ascii="宋体" w:hAnsi="宋体" w:eastAsia="宋体"/>
          <w:color w:val="auto"/>
          <w:sz w:val="32"/>
          <w:szCs w:val="32"/>
        </w:rPr>
        <w:t>其他需要说明的问题</w:t>
      </w:r>
      <w:bookmarkEnd w:id="19"/>
    </w:p>
    <w:p>
      <w:pPr>
        <w:spacing w:line="360" w:lineRule="auto"/>
        <w:rPr>
          <w:rFonts w:hint="eastAsia" w:eastAsia="仿宋_GB2312"/>
          <w:color w:val="auto"/>
          <w:lang w:eastAsia="zh-CN"/>
        </w:rPr>
      </w:pPr>
      <w:r>
        <w:rPr>
          <w:rFonts w:hint="eastAsia"/>
          <w:color w:val="auto"/>
          <w:lang w:eastAsia="zh-CN"/>
        </w:rPr>
        <w:t>无</w:t>
      </w:r>
    </w:p>
    <w:p>
      <w:pPr>
        <w:rPr>
          <w:color w:val="auto"/>
        </w:rPr>
      </w:pPr>
    </w:p>
    <w:sectPr>
      <w:pgSz w:w="11906" w:h="16838"/>
      <w:pgMar w:top="1928" w:right="1531" w:bottom="1701" w:left="1531" w:header="737" w:footer="851" w:gutter="0"/>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等线 Light">
    <w:panose1 w:val="02010600030101010101"/>
    <w:charset w:val="86"/>
    <w:family w:val="auto"/>
    <w:pitch w:val="default"/>
    <w:sig w:usb0="00000000" w:usb1="00000000" w:usb2="00000000" w:usb3="00000000" w:csb0="00000000" w:csb1="00000000"/>
  </w:font>
  <w:font w:name="等线">
    <w:panose1 w:val="02010600030101010101"/>
    <w:charset w:val="86"/>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021A77"/>
    <w:multiLevelType w:val="singleLevel"/>
    <w:tmpl w:val="B7021A77"/>
    <w:lvl w:ilvl="0" w:tentative="0">
      <w:start w:val="5"/>
      <w:numFmt w:val="decimal"/>
      <w:suff w:val="nothing"/>
      <w:lvlText w:val="%1、"/>
      <w:lvlJc w:val="left"/>
    </w:lvl>
  </w:abstractNum>
  <w:abstractNum w:abstractNumId="1">
    <w:nsid w:val="1D5B5EAD"/>
    <w:multiLevelType w:val="singleLevel"/>
    <w:tmpl w:val="1D5B5EA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9C5"/>
    <w:rsid w:val="00441CC3"/>
    <w:rsid w:val="00614288"/>
    <w:rsid w:val="007D49C5"/>
    <w:rsid w:val="008C631D"/>
    <w:rsid w:val="010739BF"/>
    <w:rsid w:val="03E401FF"/>
    <w:rsid w:val="03FA0875"/>
    <w:rsid w:val="04EF62A7"/>
    <w:rsid w:val="05015ADD"/>
    <w:rsid w:val="06C8135C"/>
    <w:rsid w:val="07170985"/>
    <w:rsid w:val="083F366C"/>
    <w:rsid w:val="08EC204C"/>
    <w:rsid w:val="0A6A698C"/>
    <w:rsid w:val="0E200B9B"/>
    <w:rsid w:val="0FA20DB0"/>
    <w:rsid w:val="11F27F78"/>
    <w:rsid w:val="13623225"/>
    <w:rsid w:val="138A5586"/>
    <w:rsid w:val="166646FD"/>
    <w:rsid w:val="16D16C55"/>
    <w:rsid w:val="16F02F9F"/>
    <w:rsid w:val="16F50087"/>
    <w:rsid w:val="1D0C0ECF"/>
    <w:rsid w:val="1F2B060A"/>
    <w:rsid w:val="1F8273B1"/>
    <w:rsid w:val="223C6172"/>
    <w:rsid w:val="2388125A"/>
    <w:rsid w:val="23B8099E"/>
    <w:rsid w:val="25633909"/>
    <w:rsid w:val="26A40A36"/>
    <w:rsid w:val="29C163F3"/>
    <w:rsid w:val="2A720A28"/>
    <w:rsid w:val="2B231F73"/>
    <w:rsid w:val="2B537C96"/>
    <w:rsid w:val="2BD05345"/>
    <w:rsid w:val="2C4A0EE0"/>
    <w:rsid w:val="2D5A64D2"/>
    <w:rsid w:val="2F242484"/>
    <w:rsid w:val="30794751"/>
    <w:rsid w:val="32603B05"/>
    <w:rsid w:val="329930E6"/>
    <w:rsid w:val="33826162"/>
    <w:rsid w:val="33D63FFC"/>
    <w:rsid w:val="345A76BC"/>
    <w:rsid w:val="36C679F5"/>
    <w:rsid w:val="37307AEB"/>
    <w:rsid w:val="3990029B"/>
    <w:rsid w:val="3CA81D2B"/>
    <w:rsid w:val="41D837CB"/>
    <w:rsid w:val="43F35768"/>
    <w:rsid w:val="486C284D"/>
    <w:rsid w:val="49635232"/>
    <w:rsid w:val="4B0F3832"/>
    <w:rsid w:val="4B130E86"/>
    <w:rsid w:val="4FB73463"/>
    <w:rsid w:val="4FBF3FFA"/>
    <w:rsid w:val="4FE3740D"/>
    <w:rsid w:val="52555963"/>
    <w:rsid w:val="54F509D0"/>
    <w:rsid w:val="55A67ED1"/>
    <w:rsid w:val="55B20355"/>
    <w:rsid w:val="5634327E"/>
    <w:rsid w:val="56F730F8"/>
    <w:rsid w:val="59720C6A"/>
    <w:rsid w:val="5D661956"/>
    <w:rsid w:val="5DE71697"/>
    <w:rsid w:val="631A714E"/>
    <w:rsid w:val="63FC1D58"/>
    <w:rsid w:val="651476D7"/>
    <w:rsid w:val="65F016FC"/>
    <w:rsid w:val="689A01BB"/>
    <w:rsid w:val="690E595C"/>
    <w:rsid w:val="695C0C82"/>
    <w:rsid w:val="69F23912"/>
    <w:rsid w:val="6ADE43D0"/>
    <w:rsid w:val="6EB22882"/>
    <w:rsid w:val="72920625"/>
    <w:rsid w:val="75DA7B98"/>
    <w:rsid w:val="77E441D6"/>
    <w:rsid w:val="786C0175"/>
    <w:rsid w:val="7A6B701A"/>
    <w:rsid w:val="7C2823D9"/>
    <w:rsid w:val="7F552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3">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widowControl/>
      <w:spacing w:before="240" w:after="60"/>
      <w:jc w:val="center"/>
      <w:outlineLvl w:val="0"/>
    </w:pPr>
    <w:rPr>
      <w:rFonts w:asciiTheme="majorHAnsi" w:hAnsiTheme="majorHAnsi" w:eastAsiaTheme="majorEastAsia"/>
      <w:b/>
      <w:bCs/>
      <w:kern w:val="28"/>
      <w:sz w:val="32"/>
      <w:szCs w:val="32"/>
    </w:rPr>
  </w:style>
  <w:style w:type="paragraph" w:styleId="6">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7">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character" w:styleId="10">
    <w:name w:val="Strong"/>
    <w:basedOn w:val="9"/>
    <w:qFormat/>
    <w:uiPriority w:val="0"/>
    <w:rPr>
      <w:b/>
      <w:bCs/>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1 字符"/>
    <w:basedOn w:val="9"/>
    <w:link w:val="3"/>
    <w:qFormat/>
    <w:uiPriority w:val="9"/>
    <w:rPr>
      <w:rFonts w:ascii="Times New Roman" w:hAnsi="Times New Roman" w:eastAsia="仿宋_GB2312" w:cs="Times New Roman"/>
      <w:b/>
      <w:bCs/>
      <w:kern w:val="44"/>
      <w:sz w:val="44"/>
      <w:szCs w:val="44"/>
    </w:rPr>
  </w:style>
  <w:style w:type="character" w:customStyle="1" w:styleId="13">
    <w:name w:val="标题 2 字符"/>
    <w:basedOn w:val="9"/>
    <w:link w:val="4"/>
    <w:qFormat/>
    <w:uiPriority w:val="9"/>
    <w:rPr>
      <w:rFonts w:asciiTheme="majorHAnsi" w:hAnsiTheme="majorHAnsi" w:eastAsiaTheme="majorEastAsia" w:cstheme="majorBidi"/>
      <w:b/>
      <w:bCs/>
      <w:sz w:val="32"/>
      <w:szCs w:val="32"/>
    </w:rPr>
  </w:style>
  <w:style w:type="paragraph" w:customStyle="1" w:styleId="14">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5">
    <w:name w:val="闻政-正文段落文字"/>
    <w:basedOn w:val="1"/>
    <w:qFormat/>
    <w:uiPriority w:val="0"/>
    <w:pPr>
      <w:spacing w:line="500" w:lineRule="exact"/>
      <w:ind w:firstLine="200"/>
    </w:pPr>
    <w:rPr>
      <w:rFonts w:ascii="Times New Roman" w:hAnsi="Times New Roman" w:cs="Times New Roman"/>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1037</Words>
  <Characters>5913</Characters>
  <Lines>49</Lines>
  <Paragraphs>13</Paragraphs>
  <TotalTime>11</TotalTime>
  <ScaleCrop>false</ScaleCrop>
  <LinksUpToDate>false</LinksUpToDate>
  <CharactersWithSpaces>6937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2021-04-07T08:01:00Z</dcterms:created>
  <dc:creator>翘楚</dc:creator>
  <cp:lastModifiedBy>Administrator</cp:lastModifiedBy>
  <cp:lastPrinted>2023-03-18T10:39:00Z</cp:lastPrinted>
  <dcterms:modified xsi:type="dcterms:W3CDTF">2015-01-17T18:21:06Z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66774D411AD148928F5CB87A18A0E072</vt:lpwstr>
  </property>
</Properties>
</file>